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0303F39E" w:rsidR="003212F8" w:rsidRPr="00F67398" w:rsidRDefault="003212F8" w:rsidP="003212F8">
      <w:pPr>
        <w:spacing w:after="120"/>
        <w:ind w:left="1985" w:hanging="1985"/>
        <w:rPr>
          <w:rFonts w:ascii="Arial" w:hAnsi="Arial"/>
          <w:b/>
          <w:noProof/>
          <w:sz w:val="24"/>
          <w:lang w:val="en-US"/>
        </w:rPr>
      </w:pPr>
      <w:bookmarkStart w:id="0" w:name="_Hlk101381222"/>
      <w:bookmarkStart w:id="1" w:name="page1"/>
      <w:r w:rsidRPr="00F67398">
        <w:rPr>
          <w:rFonts w:ascii="Arial" w:hAnsi="Arial"/>
          <w:b/>
          <w:noProof/>
          <w:sz w:val="24"/>
          <w:lang w:val="en-US"/>
        </w:rPr>
        <w:t>3GPP TSG-RAN WG4 Meeting #</w:t>
      </w:r>
      <w:r w:rsidR="00797FD6">
        <w:rPr>
          <w:rFonts w:ascii="Arial" w:hAnsi="Arial"/>
          <w:b/>
          <w:noProof/>
          <w:sz w:val="24"/>
          <w:lang w:val="en-US"/>
        </w:rPr>
        <w:t>10</w:t>
      </w:r>
      <w:r w:rsidR="00580B66">
        <w:rPr>
          <w:rFonts w:ascii="Arial" w:hAnsi="Arial"/>
          <w:b/>
          <w:noProof/>
          <w:sz w:val="24"/>
          <w:lang w:val="en-US"/>
        </w:rPr>
        <w:t>3</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w:t>
      </w:r>
      <w:r w:rsidRPr="00DA62A8">
        <w:rPr>
          <w:rFonts w:ascii="Arial" w:hAnsi="Arial"/>
          <w:b/>
          <w:noProof/>
          <w:sz w:val="24"/>
          <w:lang w:val="en-US"/>
        </w:rPr>
        <w:t>4-</w:t>
      </w:r>
      <w:r w:rsidR="00107381" w:rsidRPr="00DA62A8">
        <w:rPr>
          <w:rFonts w:ascii="Arial" w:hAnsi="Arial"/>
          <w:b/>
          <w:noProof/>
          <w:sz w:val="24"/>
          <w:lang w:val="en-US"/>
        </w:rPr>
        <w:t>2</w:t>
      </w:r>
      <w:r w:rsidR="001E6F98" w:rsidRPr="00DA62A8">
        <w:rPr>
          <w:rFonts w:ascii="Arial" w:hAnsi="Arial"/>
          <w:b/>
          <w:noProof/>
          <w:sz w:val="24"/>
          <w:lang w:val="en-US"/>
        </w:rPr>
        <w:t>2</w:t>
      </w:r>
      <w:r w:rsidR="009539C7" w:rsidRPr="00DA62A8">
        <w:rPr>
          <w:rFonts w:ascii="Arial" w:hAnsi="Arial"/>
          <w:b/>
          <w:noProof/>
          <w:sz w:val="24"/>
          <w:lang w:val="en-US"/>
        </w:rPr>
        <w:t>0</w:t>
      </w:r>
      <w:r w:rsidR="00E3743A">
        <w:rPr>
          <w:rFonts w:ascii="Arial" w:hAnsi="Arial"/>
          <w:b/>
          <w:noProof/>
          <w:sz w:val="24"/>
          <w:lang w:val="en-US"/>
        </w:rPr>
        <w:t>9719</w:t>
      </w:r>
    </w:p>
    <w:p w14:paraId="35ADE6E2" w14:textId="247444AD"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580B66">
        <w:rPr>
          <w:rFonts w:ascii="Arial" w:hAnsi="Arial"/>
          <w:b/>
          <w:noProof/>
          <w:sz w:val="24"/>
          <w:lang w:val="en-US"/>
        </w:rPr>
        <w:t>May</w:t>
      </w:r>
      <w:r>
        <w:rPr>
          <w:rFonts w:ascii="Arial" w:hAnsi="Arial"/>
          <w:b/>
          <w:noProof/>
          <w:sz w:val="24"/>
          <w:lang w:val="en-US"/>
        </w:rPr>
        <w:t xml:space="preserve"> </w:t>
      </w:r>
      <w:r w:rsidR="00580B66">
        <w:rPr>
          <w:rFonts w:ascii="Arial" w:hAnsi="Arial"/>
          <w:b/>
          <w:noProof/>
          <w:sz w:val="24"/>
          <w:lang w:val="en-US"/>
        </w:rPr>
        <w:t>9</w:t>
      </w:r>
      <w:r w:rsidRPr="00516441">
        <w:rPr>
          <w:rFonts w:ascii="Arial" w:hAnsi="Arial"/>
          <w:b/>
          <w:noProof/>
          <w:sz w:val="24"/>
          <w:lang w:val="en-US"/>
        </w:rPr>
        <w:t xml:space="preserve"> – </w:t>
      </w:r>
      <w:r w:rsidR="00580B66">
        <w:rPr>
          <w:rFonts w:ascii="Arial" w:hAnsi="Arial"/>
          <w:b/>
          <w:noProof/>
          <w:sz w:val="24"/>
          <w:lang w:val="en-US"/>
        </w:rPr>
        <w:t>20</w:t>
      </w:r>
      <w:r w:rsidR="001E6F98">
        <w:rPr>
          <w:rFonts w:ascii="Arial" w:hAnsi="Arial"/>
          <w:b/>
          <w:noProof/>
          <w:sz w:val="24"/>
          <w:lang w:val="en-US"/>
        </w:rPr>
        <w:t>,</w:t>
      </w:r>
      <w:r w:rsidRPr="00516441">
        <w:rPr>
          <w:rFonts w:ascii="Arial" w:hAnsi="Arial"/>
          <w:b/>
          <w:noProof/>
          <w:sz w:val="24"/>
          <w:lang w:val="en-US"/>
        </w:rPr>
        <w:t xml:space="preserve"> 202</w:t>
      </w:r>
      <w:r w:rsidR="001E6F98">
        <w:rPr>
          <w:rFonts w:ascii="Arial" w:hAnsi="Arial"/>
          <w:b/>
          <w:noProof/>
          <w:sz w:val="24"/>
          <w:lang w:val="en-US"/>
        </w:rPr>
        <w:t>2</w:t>
      </w:r>
    </w:p>
    <w:bookmarkEnd w:id="0"/>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19885492"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52551F">
        <w:rPr>
          <w:rFonts w:ascii="Arial" w:hAnsi="Arial" w:cs="Arial"/>
          <w:b/>
          <w:lang w:val="en-US"/>
        </w:rPr>
        <w:t>Measurement uncertainty considerations</w:t>
      </w:r>
      <w:r w:rsidR="00C97D2D">
        <w:rPr>
          <w:rFonts w:ascii="Arial" w:hAnsi="Arial" w:cs="Arial"/>
          <w:b/>
          <w:lang w:val="en-US"/>
        </w:rPr>
        <w:t xml:space="preserve"> </w:t>
      </w:r>
      <w:bookmarkStart w:id="2" w:name="_Hlk67315515"/>
      <w:r w:rsidR="00C97D2D">
        <w:rPr>
          <w:rFonts w:ascii="Arial" w:hAnsi="Arial" w:cs="Arial"/>
          <w:b/>
          <w:lang w:val="en-US"/>
        </w:rPr>
        <w:t>for NR in</w:t>
      </w:r>
      <w:r w:rsidR="00EB5C69" w:rsidRPr="001024D0">
        <w:rPr>
          <w:rFonts w:ascii="Arial" w:hAnsi="Arial" w:cs="Arial"/>
          <w:b/>
          <w:lang w:val="en-US"/>
        </w:rPr>
        <w:t xml:space="preserve"> 52.6GHz</w:t>
      </w:r>
      <w:r w:rsidR="00EB5C69">
        <w:rPr>
          <w:rFonts w:ascii="Arial" w:hAnsi="Arial" w:cs="Arial"/>
          <w:b/>
          <w:lang w:val="en-US"/>
        </w:rPr>
        <w:t xml:space="preserve"> – 71GHz</w:t>
      </w:r>
      <w:bookmarkEnd w:id="2"/>
    </w:p>
    <w:p w14:paraId="0AD5CA5A" w14:textId="78208154"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580B66">
        <w:rPr>
          <w:rFonts w:ascii="Arial" w:hAnsi="Arial" w:cs="Arial"/>
          <w:lang w:val="en-US"/>
        </w:rPr>
        <w:t>9</w:t>
      </w:r>
      <w:r w:rsidR="008F6E57">
        <w:rPr>
          <w:rFonts w:ascii="Arial" w:hAnsi="Arial" w:cs="Arial"/>
          <w:lang w:val="en-US"/>
        </w:rPr>
        <w:t>.1</w:t>
      </w:r>
      <w:r w:rsidR="00580B66">
        <w:rPr>
          <w:rFonts w:ascii="Arial" w:hAnsi="Arial" w:cs="Arial"/>
          <w:lang w:val="en-US"/>
        </w:rPr>
        <w:t>5</w:t>
      </w:r>
      <w:r w:rsidR="008F6E57">
        <w:rPr>
          <w:rFonts w:ascii="Arial" w:hAnsi="Arial" w:cs="Arial"/>
          <w:lang w:val="en-US"/>
        </w:rPr>
        <w:t>.</w:t>
      </w:r>
      <w:r w:rsidR="0052551F">
        <w:rPr>
          <w:rFonts w:ascii="Arial" w:hAnsi="Arial" w:cs="Arial"/>
          <w:lang w:val="en-US"/>
        </w:rPr>
        <w:t>5.</w:t>
      </w:r>
      <w:r w:rsidR="00C97D2D">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51BE18FF" w14:textId="7B15924A" w:rsidR="00533692" w:rsidRPr="00EB1018" w:rsidRDefault="00C97D2D" w:rsidP="00EB1018">
      <w:pPr>
        <w:rPr>
          <w:i/>
          <w:sz w:val="18"/>
          <w:lang w:val="en-US"/>
        </w:rPr>
      </w:pPr>
      <w:r>
        <w:rPr>
          <w:lang w:val="en-US"/>
        </w:rPr>
        <w:t xml:space="preserve">This </w:t>
      </w:r>
      <w:r w:rsidR="0010253A" w:rsidRPr="00B53A40">
        <w:rPr>
          <w:lang w:val="en-US"/>
        </w:rPr>
        <w:t xml:space="preserve">contribution </w:t>
      </w:r>
      <w:r w:rsidR="00EB1018">
        <w:rPr>
          <w:lang w:val="en-US"/>
        </w:rPr>
        <w:t>discusses</w:t>
      </w:r>
      <w:r w:rsidR="00835C77">
        <w:rPr>
          <w:lang w:val="en-US"/>
        </w:rPr>
        <w:t xml:space="preserve"> </w:t>
      </w:r>
      <w:r w:rsidR="0052551F">
        <w:rPr>
          <w:lang w:val="en-US"/>
        </w:rPr>
        <w:t>treatment of measurement uncertainties for BS conformance testing</w:t>
      </w:r>
      <w:r w:rsidR="00EB1018">
        <w:rPr>
          <w:lang w:val="en-US"/>
        </w:rPr>
        <w:t xml:space="preserve"> for </w:t>
      </w:r>
      <w:r w:rsidR="00EB1018" w:rsidRPr="00EB1018">
        <w:rPr>
          <w:lang w:val="en-US"/>
        </w:rPr>
        <w:t xml:space="preserve">NR </w:t>
      </w:r>
      <w:r>
        <w:rPr>
          <w:lang w:val="en-US"/>
        </w:rPr>
        <w:t>i</w:t>
      </w:r>
      <w:r w:rsidR="00EB1018" w:rsidRPr="00EB1018">
        <w:rPr>
          <w:lang w:val="en-US"/>
        </w:rPr>
        <w:t>n the range 52.6GHz – 71GHz</w:t>
      </w:r>
      <w:r w:rsidR="00D84205">
        <w:rPr>
          <w:lang w:val="en-US"/>
        </w:rPr>
        <w:t>.</w:t>
      </w:r>
    </w:p>
    <w:p w14:paraId="728F8C07" w14:textId="1C047F08" w:rsidR="00533692" w:rsidRDefault="00150D4C" w:rsidP="00C86C2A">
      <w:pPr>
        <w:pStyle w:val="Heading1"/>
        <w:numPr>
          <w:ilvl w:val="0"/>
          <w:numId w:val="14"/>
        </w:numPr>
        <w:rPr>
          <w:lang w:val="en-US"/>
        </w:rPr>
      </w:pPr>
      <w:r>
        <w:rPr>
          <w:lang w:val="en-US"/>
        </w:rPr>
        <w:t>Discussion</w:t>
      </w:r>
    </w:p>
    <w:p w14:paraId="737E65A0" w14:textId="57848695" w:rsidR="00F00F64" w:rsidRDefault="00F00F64" w:rsidP="2DA89E2A">
      <w:pPr>
        <w:spacing w:after="0"/>
        <w:rPr>
          <w:b/>
          <w:bCs/>
          <w:lang w:val="en-US"/>
        </w:rPr>
      </w:pPr>
    </w:p>
    <w:p w14:paraId="09631D89" w14:textId="3CDCF7AC" w:rsidR="001B7DFB" w:rsidRDefault="002E70B1" w:rsidP="0052551F">
      <w:r>
        <w:t xml:space="preserve">Some of the most important parameters to be agreed on BS conformance testing are test tolerances which relate to measurement uncertainties. </w:t>
      </w:r>
      <w:r w:rsidR="00E8134E">
        <w:t xml:space="preserve">If allowed measurement uncertainties and therefore test tolerance are too large, the core requirements may not be meaningful anymore, as passing a poor implementation becomes an issue. On the other hand if measurement uncertainties are large and no test tolerance is granted, like typically done e.g. for regulatory requirements, the burden on implementations become large as they need to perform better than the minimum requirement so that they do not fail the test because of measurement uncertainty. Therefore, care is needed on defining correct measurement uncertainties. </w:t>
      </w:r>
    </w:p>
    <w:p w14:paraId="04164706" w14:textId="1442812E" w:rsidR="00E8134E" w:rsidRDefault="00E8134E" w:rsidP="0052551F">
      <w:r>
        <w:t xml:space="preserve">There is a large amount of information on OTA testing and derivation of test tolerances and measurement uncertainties for OTA test in TR 37.941 [1]. It is important to properly </w:t>
      </w:r>
      <w:proofErr w:type="spellStart"/>
      <w:r>
        <w:t>analyze</w:t>
      </w:r>
      <w:proofErr w:type="spellEnd"/>
      <w:r>
        <w:t xml:space="preserve"> and capture how test tolerances have been set also for </w:t>
      </w:r>
      <w:r w:rsidR="006B4553">
        <w:t>NR operating in 52.6 – 71 GHz. However, current WID [2] does not include an appropriate TR to do this. Therefore, a WID revision in next RAN would be needed to be able to capture the background on measurement uncertainties and test tolerances.</w:t>
      </w:r>
    </w:p>
    <w:p w14:paraId="5662714A" w14:textId="3B14890A" w:rsidR="006B4553" w:rsidRPr="006B4553" w:rsidRDefault="006B4553" w:rsidP="0052551F">
      <w:pPr>
        <w:rPr>
          <w:b/>
          <w:bCs/>
        </w:rPr>
      </w:pPr>
      <w:r w:rsidRPr="006B4553">
        <w:rPr>
          <w:b/>
          <w:bCs/>
        </w:rPr>
        <w:t>Observation 1: Current WID does not include any TR to capture the background for base station measurement uncertainty and test tolerance derivation.</w:t>
      </w:r>
    </w:p>
    <w:p w14:paraId="66A2179E" w14:textId="177CF463" w:rsidR="00E8134E" w:rsidRPr="006B4553" w:rsidRDefault="006B4553" w:rsidP="0052551F">
      <w:pPr>
        <w:rPr>
          <w:b/>
          <w:bCs/>
        </w:rPr>
      </w:pPr>
      <w:r w:rsidRPr="006B4553">
        <w:rPr>
          <w:b/>
          <w:bCs/>
        </w:rPr>
        <w:t xml:space="preserve">Proposal 1: </w:t>
      </w:r>
      <w:r>
        <w:rPr>
          <w:b/>
          <w:bCs/>
          <w:color w:val="000000" w:themeColor="text1"/>
        </w:rPr>
        <w:t>Measurement uncertainty and test tolerance</w:t>
      </w:r>
      <w:r w:rsidRPr="006B4553">
        <w:rPr>
          <w:b/>
          <w:bCs/>
          <w:color w:val="000000" w:themeColor="text1"/>
          <w:lang w:val="en-US"/>
        </w:rPr>
        <w:t xml:space="preserve"> analysis needs to be properly captured and therefore update to WID is needed</w:t>
      </w:r>
      <w:r>
        <w:rPr>
          <w:b/>
          <w:bCs/>
          <w:color w:val="000000" w:themeColor="text1"/>
          <w:lang w:val="en-US"/>
        </w:rPr>
        <w:t>.</w:t>
      </w:r>
    </w:p>
    <w:p w14:paraId="70E38255" w14:textId="4DA865D7" w:rsidR="00C85017" w:rsidRPr="006B4553" w:rsidRDefault="006B4553" w:rsidP="0052551F">
      <w:r>
        <w:t xml:space="preserve">One possible obstacle for achieving the target of deriving proper test tolerance is the availability of test equipment which can cover the frequency range 52.6 to 71 GHz. Recently, the same issue was faced in defining n262 i.e. 47.2 – 48.2 GHz, where TR 38.847 [3] captures the following note for some test system uncertainties: </w:t>
      </w:r>
      <w:r w:rsidRPr="006B4553">
        <w:t>“</w:t>
      </w:r>
      <w:r w:rsidR="00C85017" w:rsidRPr="006B4553">
        <w:rPr>
          <w:i/>
          <w:iCs/>
          <w:color w:val="000000" w:themeColor="text1"/>
          <w:lang w:val="en-US"/>
        </w:rPr>
        <w:t>NOTE 2:   The maximum OTA Test System uncertainty in the frequency range 43.5 GHz &lt; f ≤ 48.2 GHz is a composite of signal generator and external RF front-end with mixer. Future evaluation and improvement of uncertainty values will be performed once the signal generator internal RF supports higher frequency so external mixer is not used.”</w:t>
      </w:r>
    </w:p>
    <w:p w14:paraId="560ECC94" w14:textId="19B47C68" w:rsidR="00D21497" w:rsidRPr="00D21497" w:rsidRDefault="00D21497" w:rsidP="0052551F">
      <w:pPr>
        <w:rPr>
          <w:color w:val="000000" w:themeColor="text1"/>
          <w:lang w:val="en-US"/>
        </w:rPr>
      </w:pPr>
      <w:r w:rsidRPr="00D21497">
        <w:rPr>
          <w:color w:val="000000" w:themeColor="text1"/>
          <w:lang w:val="en-US"/>
        </w:rPr>
        <w:t>Corre</w:t>
      </w:r>
      <w:r>
        <w:rPr>
          <w:color w:val="000000" w:themeColor="text1"/>
          <w:lang w:val="en-US"/>
        </w:rPr>
        <w:t>spondingly, TS 38.141-2 [4] still has some test tolerances for n262 in square brackets.</w:t>
      </w:r>
    </w:p>
    <w:p w14:paraId="09527B3D" w14:textId="6F964F43" w:rsidR="00C85017" w:rsidRPr="00D21497" w:rsidRDefault="00D21497" w:rsidP="0052551F">
      <w:pPr>
        <w:rPr>
          <w:b/>
          <w:bCs/>
          <w:color w:val="000000" w:themeColor="text1"/>
          <w:lang w:val="en-US"/>
        </w:rPr>
      </w:pPr>
      <w:r w:rsidRPr="702F4938">
        <w:rPr>
          <w:b/>
          <w:bCs/>
          <w:color w:val="000000" w:themeColor="text1"/>
          <w:lang w:val="en-US"/>
        </w:rPr>
        <w:t>Observation 2</w:t>
      </w:r>
      <w:r w:rsidR="00C85017" w:rsidRPr="702F4938">
        <w:rPr>
          <w:b/>
          <w:bCs/>
          <w:color w:val="000000" w:themeColor="text1"/>
          <w:lang w:val="en-US"/>
        </w:rPr>
        <w:t xml:space="preserve">: </w:t>
      </w:r>
      <w:r w:rsidRPr="702F4938">
        <w:rPr>
          <w:b/>
          <w:bCs/>
          <w:color w:val="000000" w:themeColor="text1"/>
          <w:lang w:val="en-US"/>
        </w:rPr>
        <w:t xml:space="preserve">Maximum test uncertainties for n262 (47.2 – 48.2 GHz) are not completed: TR 38.847 captures a note related to further evaluation and improvement of uncertainty values and </w:t>
      </w:r>
      <w:r w:rsidR="00C85017" w:rsidRPr="702F4938">
        <w:rPr>
          <w:b/>
          <w:bCs/>
          <w:color w:val="000000" w:themeColor="text1"/>
          <w:lang w:val="en-US"/>
        </w:rPr>
        <w:t xml:space="preserve">38.141-2 still has </w:t>
      </w:r>
      <w:r w:rsidRPr="702F4938">
        <w:rPr>
          <w:b/>
          <w:bCs/>
          <w:color w:val="000000" w:themeColor="text1"/>
          <w:lang w:val="en-US"/>
        </w:rPr>
        <w:t>test tolerances</w:t>
      </w:r>
      <w:r w:rsidR="00C85017" w:rsidRPr="702F4938">
        <w:rPr>
          <w:b/>
          <w:bCs/>
          <w:color w:val="000000" w:themeColor="text1"/>
          <w:lang w:val="en-US"/>
        </w:rPr>
        <w:t xml:space="preserve"> in square brackets.</w:t>
      </w:r>
    </w:p>
    <w:p w14:paraId="2C5E20DE" w14:textId="748D7E5C" w:rsidR="00D21497" w:rsidRDefault="00D21497" w:rsidP="702F4938">
      <w:pPr>
        <w:spacing w:line="259" w:lineRule="auto"/>
        <w:rPr>
          <w:color w:val="000000" w:themeColor="text1"/>
          <w:lang w:val="en-US"/>
        </w:rPr>
      </w:pPr>
      <w:r w:rsidRPr="702F4938">
        <w:rPr>
          <w:color w:val="000000" w:themeColor="text1"/>
          <w:lang w:val="en-US"/>
        </w:rPr>
        <w:t xml:space="preserve">In case </w:t>
      </w:r>
      <w:r w:rsidR="702F4938" w:rsidRPr="702F4938">
        <w:rPr>
          <w:color w:val="000000" w:themeColor="text1"/>
          <w:lang w:val="en-US"/>
        </w:rPr>
        <w:t>measurement equipment which can directly support FR2-2 frequencies without external RF front-ends can be used for defining MUs in FR2-2, the data from those measurement equipment could potentially be used also to update MU/TT for n262.</w:t>
      </w:r>
    </w:p>
    <w:p w14:paraId="2BFA8E9A" w14:textId="0231044B" w:rsidR="702F4938" w:rsidRDefault="702F4938" w:rsidP="702F4938">
      <w:pPr>
        <w:spacing w:line="259" w:lineRule="auto"/>
        <w:rPr>
          <w:b/>
          <w:bCs/>
          <w:color w:val="000000" w:themeColor="text1"/>
          <w:lang w:val="en-US"/>
        </w:rPr>
      </w:pPr>
      <w:r w:rsidRPr="702F4938">
        <w:rPr>
          <w:b/>
          <w:bCs/>
          <w:color w:val="000000" w:themeColor="text1"/>
          <w:lang w:val="en-US"/>
        </w:rPr>
        <w:t>Observation 3: In case measurement equipment availability has improved and covers FR2-2, there is a possibility to update n262 MU and TT values also.</w:t>
      </w:r>
    </w:p>
    <w:p w14:paraId="42B62AA0" w14:textId="68580BCD" w:rsidR="00C85017" w:rsidRPr="00C85017" w:rsidRDefault="00C85017" w:rsidP="0052551F">
      <w:pPr>
        <w:rPr>
          <w:b/>
          <w:bCs/>
          <w:color w:val="000000" w:themeColor="text1"/>
          <w:lang w:val="en-US"/>
        </w:rPr>
      </w:pPr>
      <w:r>
        <w:rPr>
          <w:b/>
          <w:bCs/>
          <w:color w:val="000000" w:themeColor="text1"/>
          <w:lang w:val="en-US"/>
        </w:rPr>
        <w:lastRenderedPageBreak/>
        <w:t xml:space="preserve"> </w:t>
      </w:r>
    </w:p>
    <w:p w14:paraId="4ED0B46E" w14:textId="524FFB9C" w:rsidR="0010253A" w:rsidRPr="00B53A40" w:rsidRDefault="00640DAA" w:rsidP="0010253A">
      <w:pPr>
        <w:pStyle w:val="Heading1"/>
        <w:overflowPunct/>
        <w:autoSpaceDE/>
        <w:autoSpaceDN/>
        <w:adjustRightInd/>
        <w:ind w:left="432" w:hanging="432"/>
        <w:textAlignment w:val="auto"/>
        <w:rPr>
          <w:lang w:val="en-US" w:eastAsia="zh-CN"/>
        </w:rPr>
      </w:pPr>
      <w:r>
        <w:rPr>
          <w:lang w:val="en-US" w:eastAsia="zh-CN"/>
        </w:rPr>
        <w:t xml:space="preserve">3 </w:t>
      </w:r>
      <w:r w:rsidR="0010253A" w:rsidRPr="00B53A40">
        <w:rPr>
          <w:lang w:val="en-US" w:eastAsia="zh-CN"/>
        </w:rPr>
        <w:t xml:space="preserve">Conclusion </w:t>
      </w:r>
    </w:p>
    <w:p w14:paraId="37A6B2FB" w14:textId="1AEA9EA8" w:rsidR="0010253A" w:rsidRDefault="0010253A" w:rsidP="0010253A">
      <w:pPr>
        <w:rPr>
          <w:lang w:val="en-US" w:eastAsia="zh-CN"/>
        </w:rPr>
      </w:pPr>
      <w:r w:rsidRPr="43253585">
        <w:rPr>
          <w:lang w:val="en-US" w:eastAsia="zh-CN"/>
        </w:rPr>
        <w:t xml:space="preserve">In this contribution </w:t>
      </w:r>
      <w:r w:rsidR="0052551F">
        <w:rPr>
          <w:lang w:val="en-US" w:eastAsia="zh-CN"/>
        </w:rPr>
        <w:t>treatment of measurement uncertainties for NR in the range of 52.6 to 71 GHz were discussed</w:t>
      </w:r>
      <w:r w:rsidRPr="43253585">
        <w:rPr>
          <w:lang w:val="en-US" w:eastAsia="zh-CN"/>
        </w:rPr>
        <w:t xml:space="preserve">. The following </w:t>
      </w:r>
      <w:r w:rsidR="0052551F">
        <w:rPr>
          <w:lang w:val="en-US" w:eastAsia="zh-CN"/>
        </w:rPr>
        <w:t xml:space="preserve">observations and </w:t>
      </w:r>
      <w:r w:rsidRPr="43253585">
        <w:rPr>
          <w:lang w:val="en-US" w:eastAsia="zh-CN"/>
        </w:rPr>
        <w:t>proposals were made</w:t>
      </w:r>
      <w:r w:rsidR="00B83852">
        <w:rPr>
          <w:lang w:val="en-US" w:eastAsia="zh-CN"/>
        </w:rPr>
        <w:t>:</w:t>
      </w:r>
    </w:p>
    <w:p w14:paraId="519CFF4B" w14:textId="77777777" w:rsidR="00D21497" w:rsidRPr="006B4553" w:rsidRDefault="00D21497" w:rsidP="00D21497">
      <w:pPr>
        <w:rPr>
          <w:b/>
          <w:bCs/>
        </w:rPr>
      </w:pPr>
      <w:r w:rsidRPr="006B4553">
        <w:rPr>
          <w:b/>
          <w:bCs/>
        </w:rPr>
        <w:t>Observation 1: Current WID does not include any TR to capture the background for base station measurement uncertainty and test tolerance derivation.</w:t>
      </w:r>
    </w:p>
    <w:p w14:paraId="0EFAD2AA" w14:textId="77777777" w:rsidR="00D21497" w:rsidRPr="006B4553" w:rsidRDefault="00D21497" w:rsidP="00D21497">
      <w:pPr>
        <w:rPr>
          <w:b/>
          <w:bCs/>
        </w:rPr>
      </w:pPr>
      <w:r w:rsidRPr="006B4553">
        <w:rPr>
          <w:b/>
          <w:bCs/>
        </w:rPr>
        <w:t xml:space="preserve">Proposal 1: </w:t>
      </w:r>
      <w:r>
        <w:rPr>
          <w:b/>
          <w:bCs/>
          <w:color w:val="000000" w:themeColor="text1"/>
        </w:rPr>
        <w:t>Measurement uncertainty and test tolerance</w:t>
      </w:r>
      <w:r w:rsidRPr="006B4553">
        <w:rPr>
          <w:b/>
          <w:bCs/>
          <w:color w:val="000000" w:themeColor="text1"/>
          <w:lang w:val="en-US"/>
        </w:rPr>
        <w:t xml:space="preserve"> analysis needs to be properly captured and therefore update to WID is needed</w:t>
      </w:r>
      <w:r>
        <w:rPr>
          <w:b/>
          <w:bCs/>
          <w:color w:val="000000" w:themeColor="text1"/>
          <w:lang w:val="en-US"/>
        </w:rPr>
        <w:t>.</w:t>
      </w:r>
    </w:p>
    <w:p w14:paraId="263FBD49" w14:textId="77777777" w:rsidR="00D21497" w:rsidRPr="00D21497" w:rsidRDefault="00D21497" w:rsidP="00D21497">
      <w:pPr>
        <w:rPr>
          <w:b/>
          <w:bCs/>
          <w:color w:val="000000" w:themeColor="text1"/>
          <w:lang w:val="en-US"/>
        </w:rPr>
      </w:pPr>
      <w:r w:rsidRPr="702F4938">
        <w:rPr>
          <w:b/>
          <w:bCs/>
          <w:color w:val="000000" w:themeColor="text1"/>
          <w:lang w:val="en-US"/>
        </w:rPr>
        <w:t>Observation 2: Maximum test uncertainties for n262 (47.2 – 48.2 GHz) are not completed: TR 38.847 captures a note related to further evaluation and improvement of uncertainty values and 38.141-2 still has test tolerances in square brackets</w:t>
      </w:r>
    </w:p>
    <w:p w14:paraId="17E264CF" w14:textId="0F7D675D" w:rsidR="702F4938" w:rsidRDefault="702F4938" w:rsidP="702F4938">
      <w:pPr>
        <w:spacing w:line="259" w:lineRule="auto"/>
        <w:rPr>
          <w:b/>
          <w:bCs/>
          <w:color w:val="000000" w:themeColor="text1"/>
          <w:lang w:val="en-US"/>
        </w:rPr>
      </w:pPr>
      <w:r w:rsidRPr="702F4938">
        <w:rPr>
          <w:b/>
          <w:bCs/>
          <w:color w:val="000000" w:themeColor="text1"/>
          <w:lang w:val="en-US"/>
        </w:rPr>
        <w:t>Observation 3: In case measurement equipment availability has improved and covers FR2-2, there is a possibility to update n262 MU and TT values also.</w:t>
      </w: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bookmarkEnd w:id="1"/>
    <w:p w14:paraId="12119A0F" w14:textId="40403822" w:rsidR="001F0631" w:rsidRDefault="00E8134E" w:rsidP="009425CA">
      <w:pPr>
        <w:spacing w:line="259" w:lineRule="auto"/>
        <w:rPr>
          <w:lang w:val="en-US"/>
        </w:rPr>
      </w:pPr>
      <w:r w:rsidRPr="00E8134E">
        <w:rPr>
          <w:lang w:val="en-US"/>
        </w:rPr>
        <w:t>[1]</w:t>
      </w:r>
      <w:r>
        <w:rPr>
          <w:lang w:val="en-US"/>
        </w:rPr>
        <w:t xml:space="preserve"> 3GPP TR 37.941 “</w:t>
      </w:r>
      <w:r w:rsidRPr="00E8134E">
        <w:rPr>
          <w:lang w:val="en-US"/>
        </w:rPr>
        <w:t>Radio Frequency (RF) conformance testing background for radiated Base Station (BS) requirements</w:t>
      </w:r>
      <w:r>
        <w:rPr>
          <w:lang w:val="en-US"/>
        </w:rPr>
        <w:t>”</w:t>
      </w:r>
    </w:p>
    <w:p w14:paraId="7AB6494A" w14:textId="3331F79F" w:rsidR="006B4553" w:rsidRDefault="006B4553" w:rsidP="009425CA">
      <w:pPr>
        <w:spacing w:line="259" w:lineRule="auto"/>
        <w:rPr>
          <w:lang w:val="en-US"/>
        </w:rPr>
      </w:pPr>
      <w:r>
        <w:rPr>
          <w:lang w:val="en-US"/>
        </w:rPr>
        <w:t>[2] RP-213540 “Revised WID: Extending current NR operation to 71 GHz”, Qualcomm</w:t>
      </w:r>
    </w:p>
    <w:p w14:paraId="2102107D" w14:textId="3C156C8F" w:rsidR="006B4553" w:rsidRDefault="006B4553" w:rsidP="006B4553">
      <w:pPr>
        <w:overflowPunct/>
        <w:autoSpaceDE/>
        <w:autoSpaceDN/>
        <w:adjustRightInd/>
        <w:spacing w:after="0"/>
        <w:textAlignment w:val="auto"/>
        <w:rPr>
          <w:lang w:val="en-US"/>
        </w:rPr>
      </w:pPr>
      <w:r>
        <w:rPr>
          <w:lang w:val="en-US"/>
        </w:rPr>
        <w:t>[3] 3GPP TR 38.847 “</w:t>
      </w:r>
      <w:r w:rsidRPr="006B4553">
        <w:rPr>
          <w:lang w:val="en-US"/>
        </w:rPr>
        <w:t>New frequency range for NR (47.2 – 48.2 GHz)”</w:t>
      </w:r>
    </w:p>
    <w:p w14:paraId="1CF28E6E" w14:textId="204EDBB1" w:rsidR="00D21497" w:rsidRDefault="00D21497" w:rsidP="006B4553">
      <w:pPr>
        <w:overflowPunct/>
        <w:autoSpaceDE/>
        <w:autoSpaceDN/>
        <w:adjustRightInd/>
        <w:spacing w:after="0"/>
        <w:textAlignment w:val="auto"/>
        <w:rPr>
          <w:lang w:val="en-US"/>
        </w:rPr>
      </w:pPr>
    </w:p>
    <w:p w14:paraId="0C4EE4F4" w14:textId="635251A5" w:rsidR="00D21497" w:rsidRPr="006B4553" w:rsidRDefault="00D21497" w:rsidP="006B4553">
      <w:pPr>
        <w:overflowPunct/>
        <w:autoSpaceDE/>
        <w:autoSpaceDN/>
        <w:adjustRightInd/>
        <w:spacing w:after="0"/>
        <w:textAlignment w:val="auto"/>
        <w:rPr>
          <w:lang w:val="en-US"/>
        </w:rPr>
      </w:pPr>
      <w:r>
        <w:rPr>
          <w:lang w:val="en-US"/>
        </w:rPr>
        <w:t>[4] 3GPP TS 38.141-2 “</w:t>
      </w:r>
      <w:r w:rsidRPr="00D21497">
        <w:rPr>
          <w:lang w:val="en-US"/>
        </w:rPr>
        <w:t>Base Station (BS) conformance testing Part 2: Radiated conformance testing</w:t>
      </w:r>
      <w:r>
        <w:rPr>
          <w:lang w:val="en-US"/>
        </w:rPr>
        <w:t>”</w:t>
      </w:r>
    </w:p>
    <w:p w14:paraId="5265A982" w14:textId="77777777" w:rsidR="006B4553" w:rsidRPr="00E8134E" w:rsidRDefault="006B4553" w:rsidP="009425CA">
      <w:pPr>
        <w:spacing w:line="259" w:lineRule="auto"/>
      </w:pPr>
    </w:p>
    <w:sectPr w:rsidR="006B4553" w:rsidRPr="00E8134E"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66182" w14:textId="77777777" w:rsidR="00B75D73" w:rsidRDefault="00B75D73">
      <w:r>
        <w:separator/>
      </w:r>
    </w:p>
    <w:p w14:paraId="19878DCC" w14:textId="77777777" w:rsidR="00B75D73" w:rsidRDefault="00B75D73"/>
  </w:endnote>
  <w:endnote w:type="continuationSeparator" w:id="0">
    <w:p w14:paraId="3A1E3574" w14:textId="77777777" w:rsidR="00B75D73" w:rsidRDefault="00B75D73">
      <w:r>
        <w:continuationSeparator/>
      </w:r>
    </w:p>
    <w:p w14:paraId="33F58261" w14:textId="77777777" w:rsidR="00B75D73" w:rsidRDefault="00B75D73"/>
  </w:endnote>
  <w:endnote w:type="continuationNotice" w:id="1">
    <w:p w14:paraId="0B13AC40" w14:textId="77777777" w:rsidR="00B75D73" w:rsidRDefault="00B75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Mincho"/>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1E608" w14:textId="77777777" w:rsidR="00B75D73" w:rsidRDefault="00B75D73">
      <w:r>
        <w:separator/>
      </w:r>
    </w:p>
    <w:p w14:paraId="4C72B2B9" w14:textId="77777777" w:rsidR="00B75D73" w:rsidRDefault="00B75D73"/>
  </w:footnote>
  <w:footnote w:type="continuationSeparator" w:id="0">
    <w:p w14:paraId="7F946CD9" w14:textId="77777777" w:rsidR="00B75D73" w:rsidRDefault="00B75D73">
      <w:r>
        <w:continuationSeparator/>
      </w:r>
    </w:p>
    <w:p w14:paraId="7C20BA36" w14:textId="77777777" w:rsidR="00B75D73" w:rsidRDefault="00B75D73"/>
  </w:footnote>
  <w:footnote w:type="continuationNotice" w:id="1">
    <w:p w14:paraId="79BF1DF6" w14:textId="77777777" w:rsidR="00B75D73" w:rsidRDefault="00B75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51087"/>
    <w:multiLevelType w:val="multilevel"/>
    <w:tmpl w:val="86F4DF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C4172"/>
    <w:multiLevelType w:val="multilevel"/>
    <w:tmpl w:val="D34CC3B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70D636C"/>
    <w:multiLevelType w:val="multilevel"/>
    <w:tmpl w:val="C7FA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37408C"/>
    <w:multiLevelType w:val="multilevel"/>
    <w:tmpl w:val="F55A3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312F7E"/>
    <w:multiLevelType w:val="multilevel"/>
    <w:tmpl w:val="3C863B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12" w15:restartNumberingAfterBreak="0">
    <w:nsid w:val="3C4C7F6A"/>
    <w:multiLevelType w:val="multilevel"/>
    <w:tmpl w:val="C8EECA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F112CB"/>
    <w:multiLevelType w:val="hybridMultilevel"/>
    <w:tmpl w:val="EA5A46C0"/>
    <w:lvl w:ilvl="0" w:tplc="96BA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0"/>
  </w:num>
  <w:num w:numId="4">
    <w:abstractNumId w:val="29"/>
  </w:num>
  <w:num w:numId="5">
    <w:abstractNumId w:val="8"/>
  </w:num>
  <w:num w:numId="6">
    <w:abstractNumId w:val="2"/>
  </w:num>
  <w:num w:numId="7">
    <w:abstractNumId w:val="26"/>
  </w:num>
  <w:num w:numId="8">
    <w:abstractNumId w:val="19"/>
  </w:num>
  <w:num w:numId="9">
    <w:abstractNumId w:val="24"/>
  </w:num>
  <w:num w:numId="10">
    <w:abstractNumId w:val="9"/>
  </w:num>
  <w:num w:numId="11">
    <w:abstractNumId w:val="17"/>
  </w:num>
  <w:num w:numId="12">
    <w:abstractNumId w:val="31"/>
  </w:num>
  <w:num w:numId="13">
    <w:abstractNumId w:val="14"/>
  </w:num>
  <w:num w:numId="14">
    <w:abstractNumId w:val="13"/>
  </w:num>
  <w:num w:numId="15">
    <w:abstractNumId w:val="3"/>
  </w:num>
  <w:num w:numId="16">
    <w:abstractNumId w:val="21"/>
  </w:num>
  <w:num w:numId="17">
    <w:abstractNumId w:val="25"/>
  </w:num>
  <w:num w:numId="18">
    <w:abstractNumId w:val="28"/>
  </w:num>
  <w:num w:numId="19">
    <w:abstractNumId w:val="15"/>
  </w:num>
  <w:num w:numId="20">
    <w:abstractNumId w:val="20"/>
  </w:num>
  <w:num w:numId="21">
    <w:abstractNumId w:val="23"/>
  </w:num>
  <w:num w:numId="22">
    <w:abstractNumId w:val="22"/>
  </w:num>
  <w:num w:numId="23">
    <w:abstractNumId w:val="18"/>
  </w:num>
  <w:num w:numId="24">
    <w:abstractNumId w:val="1"/>
  </w:num>
  <w:num w:numId="25">
    <w:abstractNumId w:val="30"/>
  </w:num>
  <w:num w:numId="26">
    <w:abstractNumId w:val="6"/>
  </w:num>
  <w:num w:numId="27">
    <w:abstractNumId w:val="0"/>
  </w:num>
  <w:num w:numId="28">
    <w:abstractNumId w:val="5"/>
  </w:num>
  <w:num w:numId="29">
    <w:abstractNumId w:val="12"/>
  </w:num>
  <w:num w:numId="30">
    <w:abstractNumId w:val="4"/>
  </w:num>
  <w:num w:numId="31">
    <w:abstractNumId w:val="7"/>
  </w:num>
  <w:num w:numId="3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B72"/>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9"/>
    <w:rsid w:val="0008772F"/>
    <w:rsid w:val="000901B3"/>
    <w:rsid w:val="0009083B"/>
    <w:rsid w:val="000933C8"/>
    <w:rsid w:val="00093E30"/>
    <w:rsid w:val="0009501F"/>
    <w:rsid w:val="00095A55"/>
    <w:rsid w:val="0009681B"/>
    <w:rsid w:val="00096BF8"/>
    <w:rsid w:val="00096F7C"/>
    <w:rsid w:val="000A6CD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D6235"/>
    <w:rsid w:val="000E0832"/>
    <w:rsid w:val="000E1DC7"/>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957"/>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3DA"/>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973F8"/>
    <w:rsid w:val="001A080C"/>
    <w:rsid w:val="001A0E48"/>
    <w:rsid w:val="001A23D2"/>
    <w:rsid w:val="001A455B"/>
    <w:rsid w:val="001A4F26"/>
    <w:rsid w:val="001A6521"/>
    <w:rsid w:val="001A7019"/>
    <w:rsid w:val="001A70CB"/>
    <w:rsid w:val="001A79D4"/>
    <w:rsid w:val="001B0749"/>
    <w:rsid w:val="001B1E69"/>
    <w:rsid w:val="001B2199"/>
    <w:rsid w:val="001B5134"/>
    <w:rsid w:val="001B56B0"/>
    <w:rsid w:val="001B7DFB"/>
    <w:rsid w:val="001C10A4"/>
    <w:rsid w:val="001C23C1"/>
    <w:rsid w:val="001C2A5B"/>
    <w:rsid w:val="001C2F51"/>
    <w:rsid w:val="001C3631"/>
    <w:rsid w:val="001C3CB6"/>
    <w:rsid w:val="001C6386"/>
    <w:rsid w:val="001C763E"/>
    <w:rsid w:val="001C767D"/>
    <w:rsid w:val="001D0A3B"/>
    <w:rsid w:val="001D3758"/>
    <w:rsid w:val="001D45C2"/>
    <w:rsid w:val="001D67DE"/>
    <w:rsid w:val="001E0D31"/>
    <w:rsid w:val="001E16C7"/>
    <w:rsid w:val="001E3991"/>
    <w:rsid w:val="001E3A2B"/>
    <w:rsid w:val="001E5290"/>
    <w:rsid w:val="001E597F"/>
    <w:rsid w:val="001E5BE1"/>
    <w:rsid w:val="001E60E9"/>
    <w:rsid w:val="001E6212"/>
    <w:rsid w:val="001E6F98"/>
    <w:rsid w:val="001F0631"/>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5B7"/>
    <w:rsid w:val="00206699"/>
    <w:rsid w:val="00206C15"/>
    <w:rsid w:val="00207358"/>
    <w:rsid w:val="002126B8"/>
    <w:rsid w:val="00213C43"/>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B5D"/>
    <w:rsid w:val="002B1D9A"/>
    <w:rsid w:val="002B1FBF"/>
    <w:rsid w:val="002B26C9"/>
    <w:rsid w:val="002B3305"/>
    <w:rsid w:val="002B38E7"/>
    <w:rsid w:val="002B51FC"/>
    <w:rsid w:val="002B655B"/>
    <w:rsid w:val="002C14D5"/>
    <w:rsid w:val="002C1955"/>
    <w:rsid w:val="002C1C54"/>
    <w:rsid w:val="002C2141"/>
    <w:rsid w:val="002C2C43"/>
    <w:rsid w:val="002C34F5"/>
    <w:rsid w:val="002C4549"/>
    <w:rsid w:val="002C5256"/>
    <w:rsid w:val="002C5A06"/>
    <w:rsid w:val="002C6795"/>
    <w:rsid w:val="002D04B2"/>
    <w:rsid w:val="002D1CAF"/>
    <w:rsid w:val="002D641F"/>
    <w:rsid w:val="002D72D9"/>
    <w:rsid w:val="002E04F9"/>
    <w:rsid w:val="002E0567"/>
    <w:rsid w:val="002E0A88"/>
    <w:rsid w:val="002E1915"/>
    <w:rsid w:val="002E2805"/>
    <w:rsid w:val="002E383E"/>
    <w:rsid w:val="002E70B1"/>
    <w:rsid w:val="002E7320"/>
    <w:rsid w:val="002E7B0B"/>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408"/>
    <w:rsid w:val="003915F3"/>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4D31"/>
    <w:rsid w:val="00465616"/>
    <w:rsid w:val="004666C4"/>
    <w:rsid w:val="00466E5D"/>
    <w:rsid w:val="00466F85"/>
    <w:rsid w:val="00467C5A"/>
    <w:rsid w:val="00470D57"/>
    <w:rsid w:val="004713BA"/>
    <w:rsid w:val="00472D9C"/>
    <w:rsid w:val="00474300"/>
    <w:rsid w:val="0047494B"/>
    <w:rsid w:val="004751F1"/>
    <w:rsid w:val="004751FC"/>
    <w:rsid w:val="00475E66"/>
    <w:rsid w:val="004818A4"/>
    <w:rsid w:val="004823D7"/>
    <w:rsid w:val="00482850"/>
    <w:rsid w:val="00486056"/>
    <w:rsid w:val="0048606A"/>
    <w:rsid w:val="00487109"/>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6F03"/>
    <w:rsid w:val="004C72FA"/>
    <w:rsid w:val="004C7806"/>
    <w:rsid w:val="004D0AA6"/>
    <w:rsid w:val="004D1386"/>
    <w:rsid w:val="004D47FA"/>
    <w:rsid w:val="004E0607"/>
    <w:rsid w:val="004E0719"/>
    <w:rsid w:val="004E2429"/>
    <w:rsid w:val="004E3849"/>
    <w:rsid w:val="004E4332"/>
    <w:rsid w:val="004E68B7"/>
    <w:rsid w:val="004E6EE2"/>
    <w:rsid w:val="004E7F06"/>
    <w:rsid w:val="004F1495"/>
    <w:rsid w:val="004F2418"/>
    <w:rsid w:val="004F454D"/>
    <w:rsid w:val="004F4F9D"/>
    <w:rsid w:val="004F6B30"/>
    <w:rsid w:val="004F7ADA"/>
    <w:rsid w:val="0050011B"/>
    <w:rsid w:val="0050180A"/>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551F"/>
    <w:rsid w:val="00526BAB"/>
    <w:rsid w:val="00533241"/>
    <w:rsid w:val="005335CB"/>
    <w:rsid w:val="00533692"/>
    <w:rsid w:val="00533987"/>
    <w:rsid w:val="00534124"/>
    <w:rsid w:val="00535F5C"/>
    <w:rsid w:val="00541A5D"/>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0B66"/>
    <w:rsid w:val="00583DF4"/>
    <w:rsid w:val="005842DD"/>
    <w:rsid w:val="0058582A"/>
    <w:rsid w:val="00591F76"/>
    <w:rsid w:val="0059384F"/>
    <w:rsid w:val="00595476"/>
    <w:rsid w:val="00595DBE"/>
    <w:rsid w:val="0059615C"/>
    <w:rsid w:val="00596474"/>
    <w:rsid w:val="005973E1"/>
    <w:rsid w:val="00597DD9"/>
    <w:rsid w:val="005A15BA"/>
    <w:rsid w:val="005A3EA8"/>
    <w:rsid w:val="005A7118"/>
    <w:rsid w:val="005A7F8C"/>
    <w:rsid w:val="005B06BD"/>
    <w:rsid w:val="005B0E73"/>
    <w:rsid w:val="005B195C"/>
    <w:rsid w:val="005B3B7D"/>
    <w:rsid w:val="005B4B5A"/>
    <w:rsid w:val="005B54EC"/>
    <w:rsid w:val="005B713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57A3"/>
    <w:rsid w:val="005E6BED"/>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0DAA"/>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56B24"/>
    <w:rsid w:val="006609A4"/>
    <w:rsid w:val="00660D90"/>
    <w:rsid w:val="006613F1"/>
    <w:rsid w:val="00661B3E"/>
    <w:rsid w:val="0066216D"/>
    <w:rsid w:val="00663584"/>
    <w:rsid w:val="00663E96"/>
    <w:rsid w:val="0066498B"/>
    <w:rsid w:val="00664DC6"/>
    <w:rsid w:val="00666E07"/>
    <w:rsid w:val="00667A66"/>
    <w:rsid w:val="00667AD0"/>
    <w:rsid w:val="00667E6E"/>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3BC6"/>
    <w:rsid w:val="006946B6"/>
    <w:rsid w:val="0069513A"/>
    <w:rsid w:val="00695564"/>
    <w:rsid w:val="00697320"/>
    <w:rsid w:val="006976E7"/>
    <w:rsid w:val="006A0A88"/>
    <w:rsid w:val="006A7F19"/>
    <w:rsid w:val="006B0BC0"/>
    <w:rsid w:val="006B137F"/>
    <w:rsid w:val="006B209E"/>
    <w:rsid w:val="006B25EF"/>
    <w:rsid w:val="006B2874"/>
    <w:rsid w:val="006B2AF4"/>
    <w:rsid w:val="006B3675"/>
    <w:rsid w:val="006B4435"/>
    <w:rsid w:val="006B4553"/>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55DF"/>
    <w:rsid w:val="00775CBA"/>
    <w:rsid w:val="007770F7"/>
    <w:rsid w:val="007776D1"/>
    <w:rsid w:val="00780853"/>
    <w:rsid w:val="0078119E"/>
    <w:rsid w:val="00782601"/>
    <w:rsid w:val="00782C76"/>
    <w:rsid w:val="007833DC"/>
    <w:rsid w:val="00785115"/>
    <w:rsid w:val="007852BA"/>
    <w:rsid w:val="007854E3"/>
    <w:rsid w:val="00785906"/>
    <w:rsid w:val="0078618D"/>
    <w:rsid w:val="00790278"/>
    <w:rsid w:val="0079097B"/>
    <w:rsid w:val="007916C3"/>
    <w:rsid w:val="00791BCA"/>
    <w:rsid w:val="00791D1C"/>
    <w:rsid w:val="0079225A"/>
    <w:rsid w:val="007940E2"/>
    <w:rsid w:val="00795646"/>
    <w:rsid w:val="00797FD6"/>
    <w:rsid w:val="007A08A6"/>
    <w:rsid w:val="007A0E02"/>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2E56"/>
    <w:rsid w:val="0080436E"/>
    <w:rsid w:val="00805943"/>
    <w:rsid w:val="0080645E"/>
    <w:rsid w:val="008065EC"/>
    <w:rsid w:val="008076FE"/>
    <w:rsid w:val="00807E25"/>
    <w:rsid w:val="0081257E"/>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2BE"/>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9BF"/>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6E57"/>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04F1"/>
    <w:rsid w:val="009326F4"/>
    <w:rsid w:val="009327FB"/>
    <w:rsid w:val="00932B7E"/>
    <w:rsid w:val="00932EF3"/>
    <w:rsid w:val="009331EB"/>
    <w:rsid w:val="0093350A"/>
    <w:rsid w:val="00935241"/>
    <w:rsid w:val="0093721A"/>
    <w:rsid w:val="00937E7F"/>
    <w:rsid w:val="009425CA"/>
    <w:rsid w:val="009426CA"/>
    <w:rsid w:val="009436DB"/>
    <w:rsid w:val="00943715"/>
    <w:rsid w:val="00943DC1"/>
    <w:rsid w:val="00944B2C"/>
    <w:rsid w:val="00944BB1"/>
    <w:rsid w:val="009467E0"/>
    <w:rsid w:val="00946B2F"/>
    <w:rsid w:val="00947FA3"/>
    <w:rsid w:val="0095157D"/>
    <w:rsid w:val="009529F2"/>
    <w:rsid w:val="009539C7"/>
    <w:rsid w:val="00953B74"/>
    <w:rsid w:val="00954C4B"/>
    <w:rsid w:val="00955FA6"/>
    <w:rsid w:val="00956578"/>
    <w:rsid w:val="00956A92"/>
    <w:rsid w:val="00956D8E"/>
    <w:rsid w:val="00956EBC"/>
    <w:rsid w:val="00960990"/>
    <w:rsid w:val="00961B99"/>
    <w:rsid w:val="009624AB"/>
    <w:rsid w:val="00962CE0"/>
    <w:rsid w:val="0096352D"/>
    <w:rsid w:val="00964F06"/>
    <w:rsid w:val="00966606"/>
    <w:rsid w:val="0096699A"/>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02F8"/>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540B"/>
    <w:rsid w:val="00A56960"/>
    <w:rsid w:val="00A56A92"/>
    <w:rsid w:val="00A56DF1"/>
    <w:rsid w:val="00A60E91"/>
    <w:rsid w:val="00A61561"/>
    <w:rsid w:val="00A631D6"/>
    <w:rsid w:val="00A63E02"/>
    <w:rsid w:val="00A641AC"/>
    <w:rsid w:val="00A648B8"/>
    <w:rsid w:val="00A652E2"/>
    <w:rsid w:val="00A6595C"/>
    <w:rsid w:val="00A65DAE"/>
    <w:rsid w:val="00A65FAC"/>
    <w:rsid w:val="00A6736B"/>
    <w:rsid w:val="00A67EB5"/>
    <w:rsid w:val="00A7096E"/>
    <w:rsid w:val="00A71EC5"/>
    <w:rsid w:val="00A723A4"/>
    <w:rsid w:val="00A7429D"/>
    <w:rsid w:val="00A746CC"/>
    <w:rsid w:val="00A76B10"/>
    <w:rsid w:val="00A76D22"/>
    <w:rsid w:val="00A7704C"/>
    <w:rsid w:val="00A7756B"/>
    <w:rsid w:val="00A7779A"/>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53E3"/>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E7D3C"/>
    <w:rsid w:val="00AF00AF"/>
    <w:rsid w:val="00AF1199"/>
    <w:rsid w:val="00AF1E0E"/>
    <w:rsid w:val="00AF3E0C"/>
    <w:rsid w:val="00AF3E57"/>
    <w:rsid w:val="00AF5876"/>
    <w:rsid w:val="00AF68D2"/>
    <w:rsid w:val="00AF787B"/>
    <w:rsid w:val="00B01868"/>
    <w:rsid w:val="00B03699"/>
    <w:rsid w:val="00B0411F"/>
    <w:rsid w:val="00B05AC3"/>
    <w:rsid w:val="00B07BE0"/>
    <w:rsid w:val="00B11134"/>
    <w:rsid w:val="00B11251"/>
    <w:rsid w:val="00B11B6E"/>
    <w:rsid w:val="00B122C2"/>
    <w:rsid w:val="00B1516C"/>
    <w:rsid w:val="00B1546E"/>
    <w:rsid w:val="00B17615"/>
    <w:rsid w:val="00B20472"/>
    <w:rsid w:val="00B20DFE"/>
    <w:rsid w:val="00B22C39"/>
    <w:rsid w:val="00B2310F"/>
    <w:rsid w:val="00B232FC"/>
    <w:rsid w:val="00B247F3"/>
    <w:rsid w:val="00B24BD8"/>
    <w:rsid w:val="00B25B7A"/>
    <w:rsid w:val="00B27968"/>
    <w:rsid w:val="00B3065A"/>
    <w:rsid w:val="00B30B09"/>
    <w:rsid w:val="00B332A3"/>
    <w:rsid w:val="00B33842"/>
    <w:rsid w:val="00B340B4"/>
    <w:rsid w:val="00B34C25"/>
    <w:rsid w:val="00B35487"/>
    <w:rsid w:val="00B363D3"/>
    <w:rsid w:val="00B37AB9"/>
    <w:rsid w:val="00B41B40"/>
    <w:rsid w:val="00B42005"/>
    <w:rsid w:val="00B4221D"/>
    <w:rsid w:val="00B42573"/>
    <w:rsid w:val="00B42C63"/>
    <w:rsid w:val="00B4399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D73"/>
    <w:rsid w:val="00B75E16"/>
    <w:rsid w:val="00B76D4E"/>
    <w:rsid w:val="00B77016"/>
    <w:rsid w:val="00B77502"/>
    <w:rsid w:val="00B80785"/>
    <w:rsid w:val="00B80A59"/>
    <w:rsid w:val="00B80C47"/>
    <w:rsid w:val="00B8168E"/>
    <w:rsid w:val="00B81AAD"/>
    <w:rsid w:val="00B825A5"/>
    <w:rsid w:val="00B83852"/>
    <w:rsid w:val="00B84988"/>
    <w:rsid w:val="00B84E3B"/>
    <w:rsid w:val="00B857BE"/>
    <w:rsid w:val="00B8584C"/>
    <w:rsid w:val="00B8669E"/>
    <w:rsid w:val="00B86E2B"/>
    <w:rsid w:val="00B8799F"/>
    <w:rsid w:val="00B90834"/>
    <w:rsid w:val="00B90EF4"/>
    <w:rsid w:val="00B91EEF"/>
    <w:rsid w:val="00B92845"/>
    <w:rsid w:val="00B92EA7"/>
    <w:rsid w:val="00B93A11"/>
    <w:rsid w:val="00B946C4"/>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BF7DCF"/>
    <w:rsid w:val="00C0121E"/>
    <w:rsid w:val="00C02F4E"/>
    <w:rsid w:val="00C03D74"/>
    <w:rsid w:val="00C04AEA"/>
    <w:rsid w:val="00C06602"/>
    <w:rsid w:val="00C06DA4"/>
    <w:rsid w:val="00C07CD9"/>
    <w:rsid w:val="00C11241"/>
    <w:rsid w:val="00C116AA"/>
    <w:rsid w:val="00C14419"/>
    <w:rsid w:val="00C14A6A"/>
    <w:rsid w:val="00C16D67"/>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3B31"/>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5017"/>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97D2D"/>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3ADA"/>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0565"/>
    <w:rsid w:val="00CD128F"/>
    <w:rsid w:val="00CD371C"/>
    <w:rsid w:val="00CD53A1"/>
    <w:rsid w:val="00CD6482"/>
    <w:rsid w:val="00CE0A58"/>
    <w:rsid w:val="00CE0D19"/>
    <w:rsid w:val="00CE271C"/>
    <w:rsid w:val="00CE4C23"/>
    <w:rsid w:val="00CE54A0"/>
    <w:rsid w:val="00CE60BF"/>
    <w:rsid w:val="00CE6EAE"/>
    <w:rsid w:val="00CE7088"/>
    <w:rsid w:val="00CF2A8F"/>
    <w:rsid w:val="00CF30D2"/>
    <w:rsid w:val="00CF4C56"/>
    <w:rsid w:val="00CF6E0B"/>
    <w:rsid w:val="00CF7136"/>
    <w:rsid w:val="00D00B51"/>
    <w:rsid w:val="00D01CBA"/>
    <w:rsid w:val="00D01F81"/>
    <w:rsid w:val="00D02A87"/>
    <w:rsid w:val="00D03F41"/>
    <w:rsid w:val="00D0504A"/>
    <w:rsid w:val="00D06004"/>
    <w:rsid w:val="00D063B8"/>
    <w:rsid w:val="00D07E6D"/>
    <w:rsid w:val="00D1057C"/>
    <w:rsid w:val="00D12733"/>
    <w:rsid w:val="00D13851"/>
    <w:rsid w:val="00D13FB7"/>
    <w:rsid w:val="00D14C7B"/>
    <w:rsid w:val="00D21497"/>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2A8"/>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249C"/>
    <w:rsid w:val="00DD2CB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34DA"/>
    <w:rsid w:val="00E0474A"/>
    <w:rsid w:val="00E0546E"/>
    <w:rsid w:val="00E0686F"/>
    <w:rsid w:val="00E06D47"/>
    <w:rsid w:val="00E078A6"/>
    <w:rsid w:val="00E1060B"/>
    <w:rsid w:val="00E113DE"/>
    <w:rsid w:val="00E116BE"/>
    <w:rsid w:val="00E12A28"/>
    <w:rsid w:val="00E13409"/>
    <w:rsid w:val="00E13456"/>
    <w:rsid w:val="00E14144"/>
    <w:rsid w:val="00E1717E"/>
    <w:rsid w:val="00E206C8"/>
    <w:rsid w:val="00E21946"/>
    <w:rsid w:val="00E21BE9"/>
    <w:rsid w:val="00E2209B"/>
    <w:rsid w:val="00E24454"/>
    <w:rsid w:val="00E25268"/>
    <w:rsid w:val="00E2549A"/>
    <w:rsid w:val="00E2685A"/>
    <w:rsid w:val="00E30C23"/>
    <w:rsid w:val="00E3256E"/>
    <w:rsid w:val="00E33FE8"/>
    <w:rsid w:val="00E34241"/>
    <w:rsid w:val="00E35AD5"/>
    <w:rsid w:val="00E36C1A"/>
    <w:rsid w:val="00E3743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47690"/>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6C0F"/>
    <w:rsid w:val="00E775E1"/>
    <w:rsid w:val="00E805FB"/>
    <w:rsid w:val="00E8134E"/>
    <w:rsid w:val="00E82BFF"/>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68B9"/>
    <w:rsid w:val="00EE7620"/>
    <w:rsid w:val="00EE7FD5"/>
    <w:rsid w:val="00EF257A"/>
    <w:rsid w:val="00EF6874"/>
    <w:rsid w:val="00EF6F87"/>
    <w:rsid w:val="00F00737"/>
    <w:rsid w:val="00F00F64"/>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327"/>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3C0A"/>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03F58D"/>
    <w:rsid w:val="012360B6"/>
    <w:rsid w:val="0148EC7C"/>
    <w:rsid w:val="01A5B91B"/>
    <w:rsid w:val="02F29DB5"/>
    <w:rsid w:val="032B640C"/>
    <w:rsid w:val="046C1D7A"/>
    <w:rsid w:val="052E6240"/>
    <w:rsid w:val="054D78D2"/>
    <w:rsid w:val="05C65BD5"/>
    <w:rsid w:val="05F378BC"/>
    <w:rsid w:val="07274FB6"/>
    <w:rsid w:val="07A9B5B0"/>
    <w:rsid w:val="08A9F7BA"/>
    <w:rsid w:val="08DA1D65"/>
    <w:rsid w:val="08F43E18"/>
    <w:rsid w:val="0A5E5900"/>
    <w:rsid w:val="0B55035A"/>
    <w:rsid w:val="0BE2A8A9"/>
    <w:rsid w:val="0C5C2D99"/>
    <w:rsid w:val="0CF6A328"/>
    <w:rsid w:val="0D48E377"/>
    <w:rsid w:val="0D610FB5"/>
    <w:rsid w:val="0E5BA984"/>
    <w:rsid w:val="0E794B2C"/>
    <w:rsid w:val="0EC8A149"/>
    <w:rsid w:val="0F0FDBD9"/>
    <w:rsid w:val="0F22BA5B"/>
    <w:rsid w:val="103AF5D2"/>
    <w:rsid w:val="10532210"/>
    <w:rsid w:val="106B1B7D"/>
    <w:rsid w:val="106C3C7C"/>
    <w:rsid w:val="11BB8E0A"/>
    <w:rsid w:val="11F01370"/>
    <w:rsid w:val="123643E7"/>
    <w:rsid w:val="1286C127"/>
    <w:rsid w:val="12B8D367"/>
    <w:rsid w:val="131836E9"/>
    <w:rsid w:val="1345346B"/>
    <w:rsid w:val="1353F046"/>
    <w:rsid w:val="141BA11C"/>
    <w:rsid w:val="14D4975A"/>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A00951"/>
    <w:rsid w:val="22B46BC6"/>
    <w:rsid w:val="22C12B9F"/>
    <w:rsid w:val="2504EED0"/>
    <w:rsid w:val="2575E1F5"/>
    <w:rsid w:val="25DE2BB0"/>
    <w:rsid w:val="25FB2302"/>
    <w:rsid w:val="262FE278"/>
    <w:rsid w:val="2631D495"/>
    <w:rsid w:val="267E45B7"/>
    <w:rsid w:val="26971976"/>
    <w:rsid w:val="26C37F80"/>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2FBC64B5"/>
    <w:rsid w:val="3036813E"/>
    <w:rsid w:val="304096D7"/>
    <w:rsid w:val="309AF97E"/>
    <w:rsid w:val="30B325BC"/>
    <w:rsid w:val="3114967D"/>
    <w:rsid w:val="31B5111B"/>
    <w:rsid w:val="32746B66"/>
    <w:rsid w:val="32A258A2"/>
    <w:rsid w:val="338C9412"/>
    <w:rsid w:val="338D0BD9"/>
    <w:rsid w:val="33A53817"/>
    <w:rsid w:val="33B71F29"/>
    <w:rsid w:val="33EA2F06"/>
    <w:rsid w:val="3483B633"/>
    <w:rsid w:val="34D03A75"/>
    <w:rsid w:val="3545C06F"/>
    <w:rsid w:val="35D8D72E"/>
    <w:rsid w:val="36528D6E"/>
    <w:rsid w:val="374C8FF0"/>
    <w:rsid w:val="379AB4A5"/>
    <w:rsid w:val="37E0D6A0"/>
    <w:rsid w:val="3811DF7B"/>
    <w:rsid w:val="389E0C36"/>
    <w:rsid w:val="3949AD6D"/>
    <w:rsid w:val="395C5F4B"/>
    <w:rsid w:val="39748B89"/>
    <w:rsid w:val="39895CCD"/>
    <w:rsid w:val="39F7D080"/>
    <w:rsid w:val="3AB1BD96"/>
    <w:rsid w:val="3B6333B1"/>
    <w:rsid w:val="3C4E71A6"/>
    <w:rsid w:val="3D6E855D"/>
    <w:rsid w:val="3E17933A"/>
    <w:rsid w:val="3EA94CC3"/>
    <w:rsid w:val="3EE6BBCE"/>
    <w:rsid w:val="41599058"/>
    <w:rsid w:val="422CD4E0"/>
    <w:rsid w:val="426FF8CE"/>
    <w:rsid w:val="43212F4B"/>
    <w:rsid w:val="43253585"/>
    <w:rsid w:val="4366263A"/>
    <w:rsid w:val="43A6EB7B"/>
    <w:rsid w:val="43E4AF80"/>
    <w:rsid w:val="45442C3C"/>
    <w:rsid w:val="45CE4AB7"/>
    <w:rsid w:val="46249A65"/>
    <w:rsid w:val="46BCE3A6"/>
    <w:rsid w:val="46C4BA09"/>
    <w:rsid w:val="46D1B4EA"/>
    <w:rsid w:val="475B5F35"/>
    <w:rsid w:val="47A8219B"/>
    <w:rsid w:val="4813B96B"/>
    <w:rsid w:val="49448974"/>
    <w:rsid w:val="49A4FAF7"/>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CF4A9D"/>
    <w:rsid w:val="57D5418B"/>
    <w:rsid w:val="583692CA"/>
    <w:rsid w:val="587C4A60"/>
    <w:rsid w:val="59021753"/>
    <w:rsid w:val="59AFA31E"/>
    <w:rsid w:val="59E96079"/>
    <w:rsid w:val="5A6312C6"/>
    <w:rsid w:val="5B5DD7C1"/>
    <w:rsid w:val="5B5EDD92"/>
    <w:rsid w:val="5CAE7552"/>
    <w:rsid w:val="5D027C09"/>
    <w:rsid w:val="5D82038E"/>
    <w:rsid w:val="5EB549B8"/>
    <w:rsid w:val="5F6C8397"/>
    <w:rsid w:val="5F8BB669"/>
    <w:rsid w:val="5FEF2595"/>
    <w:rsid w:val="6008A180"/>
    <w:rsid w:val="60E32753"/>
    <w:rsid w:val="61A75C13"/>
    <w:rsid w:val="62752870"/>
    <w:rsid w:val="63D539AE"/>
    <w:rsid w:val="640C7DF2"/>
    <w:rsid w:val="641A309D"/>
    <w:rsid w:val="64579FA8"/>
    <w:rsid w:val="64DAC6DF"/>
    <w:rsid w:val="64F195A4"/>
    <w:rsid w:val="66734552"/>
    <w:rsid w:val="66B83C41"/>
    <w:rsid w:val="681A0D7F"/>
    <w:rsid w:val="692060BE"/>
    <w:rsid w:val="696557AD"/>
    <w:rsid w:val="69A48D20"/>
    <w:rsid w:val="69A89203"/>
    <w:rsid w:val="6A23CAF1"/>
    <w:rsid w:val="6B24FCAF"/>
    <w:rsid w:val="6B3F2E91"/>
    <w:rsid w:val="6B434F2A"/>
    <w:rsid w:val="6BD0A453"/>
    <w:rsid w:val="6BF3ED0C"/>
    <w:rsid w:val="6C1624C9"/>
    <w:rsid w:val="6C741990"/>
    <w:rsid w:val="6CB08430"/>
    <w:rsid w:val="6CBA6C3C"/>
    <w:rsid w:val="6CE8DFCA"/>
    <w:rsid w:val="6D4620D7"/>
    <w:rsid w:val="6D72CDA8"/>
    <w:rsid w:val="6DEC49FD"/>
    <w:rsid w:val="6E3E4CA9"/>
    <w:rsid w:val="6E6A23B6"/>
    <w:rsid w:val="6F24D10E"/>
    <w:rsid w:val="6F2F732A"/>
    <w:rsid w:val="6F34AB1F"/>
    <w:rsid w:val="6FC620E1"/>
    <w:rsid w:val="702F4938"/>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88AD148C-EC13-4C14-858A-DA294B0C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497"/>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
    <w:name w:val="paragraph"/>
    <w:basedOn w:val="Normal"/>
    <w:rsid w:val="008749BF"/>
    <w:pPr>
      <w:overflowPunct/>
      <w:autoSpaceDE/>
      <w:autoSpaceDN/>
      <w:adjustRightInd/>
      <w:spacing w:before="100" w:beforeAutospacing="1" w:after="100" w:afterAutospacing="1"/>
      <w:textAlignment w:val="auto"/>
    </w:pPr>
    <w:rPr>
      <w:sz w:val="24"/>
      <w:szCs w:val="24"/>
      <w:lang w:val="en-US"/>
    </w:rPr>
  </w:style>
  <w:style w:type="paragraph" w:customStyle="1" w:styleId="msonormal0">
    <w:name w:val="msonormal"/>
    <w:basedOn w:val="Normal"/>
    <w:rsid w:val="00DA62A8"/>
    <w:pPr>
      <w:overflowPunct/>
      <w:autoSpaceDE/>
      <w:autoSpaceDN/>
      <w:adjustRightInd/>
      <w:spacing w:before="100" w:beforeAutospacing="1" w:after="100" w:afterAutospacing="1"/>
      <w:textAlignment w:val="auto"/>
    </w:pPr>
    <w:rPr>
      <w:sz w:val="24"/>
      <w:szCs w:val="24"/>
      <w:lang w:val="en-US"/>
    </w:rPr>
  </w:style>
  <w:style w:type="paragraph" w:customStyle="1" w:styleId="xl65">
    <w:name w:val="xl65"/>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lang w:val="en-US"/>
    </w:rPr>
  </w:style>
  <w:style w:type="paragraph" w:customStyle="1" w:styleId="xl66">
    <w:name w:val="xl66"/>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textAlignment w:val="auto"/>
    </w:pPr>
    <w:rPr>
      <w:b/>
      <w:bCs/>
      <w:sz w:val="24"/>
      <w:szCs w:val="24"/>
      <w:lang w:val="en-US"/>
    </w:rPr>
  </w:style>
  <w:style w:type="paragraph" w:customStyle="1" w:styleId="xl67">
    <w:name w:val="xl67"/>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jc w:val="center"/>
      <w:textAlignment w:val="center"/>
    </w:pPr>
    <w:rPr>
      <w:b/>
      <w:bCs/>
      <w:sz w:val="24"/>
      <w:szCs w:val="24"/>
      <w:lang w:val="en-US"/>
    </w:rPr>
  </w:style>
  <w:style w:type="paragraph" w:customStyle="1" w:styleId="xl68">
    <w:name w:val="xl68"/>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7605020">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6608372">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433517">
      <w:bodyDiv w:val="1"/>
      <w:marLeft w:val="0"/>
      <w:marRight w:val="0"/>
      <w:marTop w:val="0"/>
      <w:marBottom w:val="0"/>
      <w:divBdr>
        <w:top w:val="none" w:sz="0" w:space="0" w:color="auto"/>
        <w:left w:val="none" w:sz="0" w:space="0" w:color="auto"/>
        <w:bottom w:val="none" w:sz="0" w:space="0" w:color="auto"/>
        <w:right w:val="none" w:sz="0" w:space="0" w:color="auto"/>
      </w:divBdr>
      <w:divsChild>
        <w:div w:id="471680546">
          <w:marLeft w:val="0"/>
          <w:marRight w:val="0"/>
          <w:marTop w:val="0"/>
          <w:marBottom w:val="0"/>
          <w:divBdr>
            <w:top w:val="none" w:sz="0" w:space="0" w:color="auto"/>
            <w:left w:val="none" w:sz="0" w:space="0" w:color="auto"/>
            <w:bottom w:val="none" w:sz="0" w:space="0" w:color="auto"/>
            <w:right w:val="none" w:sz="0" w:space="0" w:color="auto"/>
          </w:divBdr>
          <w:divsChild>
            <w:div w:id="645934704">
              <w:marLeft w:val="0"/>
              <w:marRight w:val="0"/>
              <w:marTop w:val="0"/>
              <w:marBottom w:val="0"/>
              <w:divBdr>
                <w:top w:val="none" w:sz="0" w:space="0" w:color="auto"/>
                <w:left w:val="none" w:sz="0" w:space="0" w:color="auto"/>
                <w:bottom w:val="none" w:sz="0" w:space="0" w:color="auto"/>
                <w:right w:val="none" w:sz="0" w:space="0" w:color="auto"/>
              </w:divBdr>
            </w:div>
            <w:div w:id="12079714">
              <w:marLeft w:val="0"/>
              <w:marRight w:val="0"/>
              <w:marTop w:val="0"/>
              <w:marBottom w:val="0"/>
              <w:divBdr>
                <w:top w:val="none" w:sz="0" w:space="0" w:color="auto"/>
                <w:left w:val="none" w:sz="0" w:space="0" w:color="auto"/>
                <w:bottom w:val="none" w:sz="0" w:space="0" w:color="auto"/>
                <w:right w:val="none" w:sz="0" w:space="0" w:color="auto"/>
              </w:divBdr>
            </w:div>
          </w:divsChild>
        </w:div>
        <w:div w:id="1963264887">
          <w:marLeft w:val="0"/>
          <w:marRight w:val="0"/>
          <w:marTop w:val="0"/>
          <w:marBottom w:val="0"/>
          <w:divBdr>
            <w:top w:val="none" w:sz="0" w:space="0" w:color="auto"/>
            <w:left w:val="none" w:sz="0" w:space="0" w:color="auto"/>
            <w:bottom w:val="none" w:sz="0" w:space="0" w:color="auto"/>
            <w:right w:val="none" w:sz="0" w:space="0" w:color="auto"/>
          </w:divBdr>
          <w:divsChild>
            <w:div w:id="1274634108">
              <w:marLeft w:val="0"/>
              <w:marRight w:val="0"/>
              <w:marTop w:val="0"/>
              <w:marBottom w:val="0"/>
              <w:divBdr>
                <w:top w:val="none" w:sz="0" w:space="0" w:color="auto"/>
                <w:left w:val="none" w:sz="0" w:space="0" w:color="auto"/>
                <w:bottom w:val="none" w:sz="0" w:space="0" w:color="auto"/>
                <w:right w:val="none" w:sz="0" w:space="0" w:color="auto"/>
              </w:divBdr>
            </w:div>
            <w:div w:id="1680232718">
              <w:marLeft w:val="0"/>
              <w:marRight w:val="0"/>
              <w:marTop w:val="0"/>
              <w:marBottom w:val="0"/>
              <w:divBdr>
                <w:top w:val="none" w:sz="0" w:space="0" w:color="auto"/>
                <w:left w:val="none" w:sz="0" w:space="0" w:color="auto"/>
                <w:bottom w:val="none" w:sz="0" w:space="0" w:color="auto"/>
                <w:right w:val="none" w:sz="0" w:space="0" w:color="auto"/>
              </w:divBdr>
            </w:div>
            <w:div w:id="2136167735">
              <w:marLeft w:val="0"/>
              <w:marRight w:val="0"/>
              <w:marTop w:val="0"/>
              <w:marBottom w:val="0"/>
              <w:divBdr>
                <w:top w:val="none" w:sz="0" w:space="0" w:color="auto"/>
                <w:left w:val="none" w:sz="0" w:space="0" w:color="auto"/>
                <w:bottom w:val="none" w:sz="0" w:space="0" w:color="auto"/>
                <w:right w:val="none" w:sz="0" w:space="0" w:color="auto"/>
              </w:divBdr>
            </w:div>
            <w:div w:id="1514568471">
              <w:marLeft w:val="0"/>
              <w:marRight w:val="0"/>
              <w:marTop w:val="0"/>
              <w:marBottom w:val="0"/>
              <w:divBdr>
                <w:top w:val="none" w:sz="0" w:space="0" w:color="auto"/>
                <w:left w:val="none" w:sz="0" w:space="0" w:color="auto"/>
                <w:bottom w:val="none" w:sz="0" w:space="0" w:color="auto"/>
                <w:right w:val="none" w:sz="0" w:space="0" w:color="auto"/>
              </w:divBdr>
            </w:div>
            <w:div w:id="1123963305">
              <w:marLeft w:val="0"/>
              <w:marRight w:val="0"/>
              <w:marTop w:val="0"/>
              <w:marBottom w:val="0"/>
              <w:divBdr>
                <w:top w:val="none" w:sz="0" w:space="0" w:color="auto"/>
                <w:left w:val="none" w:sz="0" w:space="0" w:color="auto"/>
                <w:bottom w:val="none" w:sz="0" w:space="0" w:color="auto"/>
                <w:right w:val="none" w:sz="0" w:space="0" w:color="auto"/>
              </w:divBdr>
            </w:div>
            <w:div w:id="1431395464">
              <w:marLeft w:val="0"/>
              <w:marRight w:val="0"/>
              <w:marTop w:val="0"/>
              <w:marBottom w:val="0"/>
              <w:divBdr>
                <w:top w:val="none" w:sz="0" w:space="0" w:color="auto"/>
                <w:left w:val="none" w:sz="0" w:space="0" w:color="auto"/>
                <w:bottom w:val="none" w:sz="0" w:space="0" w:color="auto"/>
                <w:right w:val="none" w:sz="0" w:space="0" w:color="auto"/>
              </w:divBdr>
            </w:div>
          </w:divsChild>
        </w:div>
        <w:div w:id="1735347539">
          <w:marLeft w:val="0"/>
          <w:marRight w:val="0"/>
          <w:marTop w:val="0"/>
          <w:marBottom w:val="0"/>
          <w:divBdr>
            <w:top w:val="none" w:sz="0" w:space="0" w:color="auto"/>
            <w:left w:val="none" w:sz="0" w:space="0" w:color="auto"/>
            <w:bottom w:val="none" w:sz="0" w:space="0" w:color="auto"/>
            <w:right w:val="none" w:sz="0" w:space="0" w:color="auto"/>
          </w:divBdr>
        </w:div>
        <w:div w:id="185868569">
          <w:marLeft w:val="0"/>
          <w:marRight w:val="0"/>
          <w:marTop w:val="0"/>
          <w:marBottom w:val="0"/>
          <w:divBdr>
            <w:top w:val="none" w:sz="0" w:space="0" w:color="auto"/>
            <w:left w:val="none" w:sz="0" w:space="0" w:color="auto"/>
            <w:bottom w:val="none" w:sz="0" w:space="0" w:color="auto"/>
            <w:right w:val="none" w:sz="0" w:space="0" w:color="auto"/>
          </w:divBdr>
          <w:divsChild>
            <w:div w:id="1494301343">
              <w:marLeft w:val="0"/>
              <w:marRight w:val="0"/>
              <w:marTop w:val="30"/>
              <w:marBottom w:val="30"/>
              <w:divBdr>
                <w:top w:val="none" w:sz="0" w:space="0" w:color="auto"/>
                <w:left w:val="none" w:sz="0" w:space="0" w:color="auto"/>
                <w:bottom w:val="none" w:sz="0" w:space="0" w:color="auto"/>
                <w:right w:val="none" w:sz="0" w:space="0" w:color="auto"/>
              </w:divBdr>
              <w:divsChild>
                <w:div w:id="1928537438">
                  <w:marLeft w:val="0"/>
                  <w:marRight w:val="0"/>
                  <w:marTop w:val="0"/>
                  <w:marBottom w:val="0"/>
                  <w:divBdr>
                    <w:top w:val="none" w:sz="0" w:space="0" w:color="auto"/>
                    <w:left w:val="none" w:sz="0" w:space="0" w:color="auto"/>
                    <w:bottom w:val="none" w:sz="0" w:space="0" w:color="auto"/>
                    <w:right w:val="none" w:sz="0" w:space="0" w:color="auto"/>
                  </w:divBdr>
                  <w:divsChild>
                    <w:div w:id="215357571">
                      <w:marLeft w:val="0"/>
                      <w:marRight w:val="0"/>
                      <w:marTop w:val="0"/>
                      <w:marBottom w:val="0"/>
                      <w:divBdr>
                        <w:top w:val="none" w:sz="0" w:space="0" w:color="auto"/>
                        <w:left w:val="none" w:sz="0" w:space="0" w:color="auto"/>
                        <w:bottom w:val="none" w:sz="0" w:space="0" w:color="auto"/>
                        <w:right w:val="none" w:sz="0" w:space="0" w:color="auto"/>
                      </w:divBdr>
                    </w:div>
                  </w:divsChild>
                </w:div>
                <w:div w:id="1907304473">
                  <w:marLeft w:val="0"/>
                  <w:marRight w:val="0"/>
                  <w:marTop w:val="0"/>
                  <w:marBottom w:val="0"/>
                  <w:divBdr>
                    <w:top w:val="none" w:sz="0" w:space="0" w:color="auto"/>
                    <w:left w:val="none" w:sz="0" w:space="0" w:color="auto"/>
                    <w:bottom w:val="none" w:sz="0" w:space="0" w:color="auto"/>
                    <w:right w:val="none" w:sz="0" w:space="0" w:color="auto"/>
                  </w:divBdr>
                  <w:divsChild>
                    <w:div w:id="437063801">
                      <w:marLeft w:val="0"/>
                      <w:marRight w:val="0"/>
                      <w:marTop w:val="0"/>
                      <w:marBottom w:val="0"/>
                      <w:divBdr>
                        <w:top w:val="none" w:sz="0" w:space="0" w:color="auto"/>
                        <w:left w:val="none" w:sz="0" w:space="0" w:color="auto"/>
                        <w:bottom w:val="none" w:sz="0" w:space="0" w:color="auto"/>
                        <w:right w:val="none" w:sz="0" w:space="0" w:color="auto"/>
                      </w:divBdr>
                    </w:div>
                  </w:divsChild>
                </w:div>
                <w:div w:id="510804327">
                  <w:marLeft w:val="0"/>
                  <w:marRight w:val="0"/>
                  <w:marTop w:val="0"/>
                  <w:marBottom w:val="0"/>
                  <w:divBdr>
                    <w:top w:val="none" w:sz="0" w:space="0" w:color="auto"/>
                    <w:left w:val="none" w:sz="0" w:space="0" w:color="auto"/>
                    <w:bottom w:val="none" w:sz="0" w:space="0" w:color="auto"/>
                    <w:right w:val="none" w:sz="0" w:space="0" w:color="auto"/>
                  </w:divBdr>
                  <w:divsChild>
                    <w:div w:id="1343585173">
                      <w:marLeft w:val="0"/>
                      <w:marRight w:val="0"/>
                      <w:marTop w:val="0"/>
                      <w:marBottom w:val="0"/>
                      <w:divBdr>
                        <w:top w:val="none" w:sz="0" w:space="0" w:color="auto"/>
                        <w:left w:val="none" w:sz="0" w:space="0" w:color="auto"/>
                        <w:bottom w:val="none" w:sz="0" w:space="0" w:color="auto"/>
                        <w:right w:val="none" w:sz="0" w:space="0" w:color="auto"/>
                      </w:divBdr>
                    </w:div>
                  </w:divsChild>
                </w:div>
                <w:div w:id="529539116">
                  <w:marLeft w:val="0"/>
                  <w:marRight w:val="0"/>
                  <w:marTop w:val="0"/>
                  <w:marBottom w:val="0"/>
                  <w:divBdr>
                    <w:top w:val="none" w:sz="0" w:space="0" w:color="auto"/>
                    <w:left w:val="none" w:sz="0" w:space="0" w:color="auto"/>
                    <w:bottom w:val="none" w:sz="0" w:space="0" w:color="auto"/>
                    <w:right w:val="none" w:sz="0" w:space="0" w:color="auto"/>
                  </w:divBdr>
                  <w:divsChild>
                    <w:div w:id="381371494">
                      <w:marLeft w:val="0"/>
                      <w:marRight w:val="0"/>
                      <w:marTop w:val="0"/>
                      <w:marBottom w:val="0"/>
                      <w:divBdr>
                        <w:top w:val="none" w:sz="0" w:space="0" w:color="auto"/>
                        <w:left w:val="none" w:sz="0" w:space="0" w:color="auto"/>
                        <w:bottom w:val="none" w:sz="0" w:space="0" w:color="auto"/>
                        <w:right w:val="none" w:sz="0" w:space="0" w:color="auto"/>
                      </w:divBdr>
                    </w:div>
                  </w:divsChild>
                </w:div>
                <w:div w:id="817575435">
                  <w:marLeft w:val="0"/>
                  <w:marRight w:val="0"/>
                  <w:marTop w:val="0"/>
                  <w:marBottom w:val="0"/>
                  <w:divBdr>
                    <w:top w:val="none" w:sz="0" w:space="0" w:color="auto"/>
                    <w:left w:val="none" w:sz="0" w:space="0" w:color="auto"/>
                    <w:bottom w:val="none" w:sz="0" w:space="0" w:color="auto"/>
                    <w:right w:val="none" w:sz="0" w:space="0" w:color="auto"/>
                  </w:divBdr>
                  <w:divsChild>
                    <w:div w:id="1233353951">
                      <w:marLeft w:val="0"/>
                      <w:marRight w:val="0"/>
                      <w:marTop w:val="0"/>
                      <w:marBottom w:val="0"/>
                      <w:divBdr>
                        <w:top w:val="none" w:sz="0" w:space="0" w:color="auto"/>
                        <w:left w:val="none" w:sz="0" w:space="0" w:color="auto"/>
                        <w:bottom w:val="none" w:sz="0" w:space="0" w:color="auto"/>
                        <w:right w:val="none" w:sz="0" w:space="0" w:color="auto"/>
                      </w:divBdr>
                    </w:div>
                  </w:divsChild>
                </w:div>
                <w:div w:id="1431047298">
                  <w:marLeft w:val="0"/>
                  <w:marRight w:val="0"/>
                  <w:marTop w:val="0"/>
                  <w:marBottom w:val="0"/>
                  <w:divBdr>
                    <w:top w:val="none" w:sz="0" w:space="0" w:color="auto"/>
                    <w:left w:val="none" w:sz="0" w:space="0" w:color="auto"/>
                    <w:bottom w:val="none" w:sz="0" w:space="0" w:color="auto"/>
                    <w:right w:val="none" w:sz="0" w:space="0" w:color="auto"/>
                  </w:divBdr>
                  <w:divsChild>
                    <w:div w:id="1454248330">
                      <w:marLeft w:val="0"/>
                      <w:marRight w:val="0"/>
                      <w:marTop w:val="0"/>
                      <w:marBottom w:val="0"/>
                      <w:divBdr>
                        <w:top w:val="none" w:sz="0" w:space="0" w:color="auto"/>
                        <w:left w:val="none" w:sz="0" w:space="0" w:color="auto"/>
                        <w:bottom w:val="none" w:sz="0" w:space="0" w:color="auto"/>
                        <w:right w:val="none" w:sz="0" w:space="0" w:color="auto"/>
                      </w:divBdr>
                    </w:div>
                  </w:divsChild>
                </w:div>
                <w:div w:id="2089955291">
                  <w:marLeft w:val="0"/>
                  <w:marRight w:val="0"/>
                  <w:marTop w:val="0"/>
                  <w:marBottom w:val="0"/>
                  <w:divBdr>
                    <w:top w:val="none" w:sz="0" w:space="0" w:color="auto"/>
                    <w:left w:val="none" w:sz="0" w:space="0" w:color="auto"/>
                    <w:bottom w:val="none" w:sz="0" w:space="0" w:color="auto"/>
                    <w:right w:val="none" w:sz="0" w:space="0" w:color="auto"/>
                  </w:divBdr>
                  <w:divsChild>
                    <w:div w:id="1675719758">
                      <w:marLeft w:val="0"/>
                      <w:marRight w:val="0"/>
                      <w:marTop w:val="0"/>
                      <w:marBottom w:val="0"/>
                      <w:divBdr>
                        <w:top w:val="none" w:sz="0" w:space="0" w:color="auto"/>
                        <w:left w:val="none" w:sz="0" w:space="0" w:color="auto"/>
                        <w:bottom w:val="none" w:sz="0" w:space="0" w:color="auto"/>
                        <w:right w:val="none" w:sz="0" w:space="0" w:color="auto"/>
                      </w:divBdr>
                    </w:div>
                  </w:divsChild>
                </w:div>
                <w:div w:id="1389645270">
                  <w:marLeft w:val="0"/>
                  <w:marRight w:val="0"/>
                  <w:marTop w:val="0"/>
                  <w:marBottom w:val="0"/>
                  <w:divBdr>
                    <w:top w:val="none" w:sz="0" w:space="0" w:color="auto"/>
                    <w:left w:val="none" w:sz="0" w:space="0" w:color="auto"/>
                    <w:bottom w:val="none" w:sz="0" w:space="0" w:color="auto"/>
                    <w:right w:val="none" w:sz="0" w:space="0" w:color="auto"/>
                  </w:divBdr>
                  <w:divsChild>
                    <w:div w:id="2118061336">
                      <w:marLeft w:val="0"/>
                      <w:marRight w:val="0"/>
                      <w:marTop w:val="0"/>
                      <w:marBottom w:val="0"/>
                      <w:divBdr>
                        <w:top w:val="none" w:sz="0" w:space="0" w:color="auto"/>
                        <w:left w:val="none" w:sz="0" w:space="0" w:color="auto"/>
                        <w:bottom w:val="none" w:sz="0" w:space="0" w:color="auto"/>
                        <w:right w:val="none" w:sz="0" w:space="0" w:color="auto"/>
                      </w:divBdr>
                    </w:div>
                  </w:divsChild>
                </w:div>
                <w:div w:id="828905975">
                  <w:marLeft w:val="0"/>
                  <w:marRight w:val="0"/>
                  <w:marTop w:val="0"/>
                  <w:marBottom w:val="0"/>
                  <w:divBdr>
                    <w:top w:val="none" w:sz="0" w:space="0" w:color="auto"/>
                    <w:left w:val="none" w:sz="0" w:space="0" w:color="auto"/>
                    <w:bottom w:val="none" w:sz="0" w:space="0" w:color="auto"/>
                    <w:right w:val="none" w:sz="0" w:space="0" w:color="auto"/>
                  </w:divBdr>
                  <w:divsChild>
                    <w:div w:id="530075291">
                      <w:marLeft w:val="0"/>
                      <w:marRight w:val="0"/>
                      <w:marTop w:val="0"/>
                      <w:marBottom w:val="0"/>
                      <w:divBdr>
                        <w:top w:val="none" w:sz="0" w:space="0" w:color="auto"/>
                        <w:left w:val="none" w:sz="0" w:space="0" w:color="auto"/>
                        <w:bottom w:val="none" w:sz="0" w:space="0" w:color="auto"/>
                        <w:right w:val="none" w:sz="0" w:space="0" w:color="auto"/>
                      </w:divBdr>
                    </w:div>
                  </w:divsChild>
                </w:div>
                <w:div w:id="486360899">
                  <w:marLeft w:val="0"/>
                  <w:marRight w:val="0"/>
                  <w:marTop w:val="0"/>
                  <w:marBottom w:val="0"/>
                  <w:divBdr>
                    <w:top w:val="none" w:sz="0" w:space="0" w:color="auto"/>
                    <w:left w:val="none" w:sz="0" w:space="0" w:color="auto"/>
                    <w:bottom w:val="none" w:sz="0" w:space="0" w:color="auto"/>
                    <w:right w:val="none" w:sz="0" w:space="0" w:color="auto"/>
                  </w:divBdr>
                  <w:divsChild>
                    <w:div w:id="551113207">
                      <w:marLeft w:val="0"/>
                      <w:marRight w:val="0"/>
                      <w:marTop w:val="0"/>
                      <w:marBottom w:val="0"/>
                      <w:divBdr>
                        <w:top w:val="none" w:sz="0" w:space="0" w:color="auto"/>
                        <w:left w:val="none" w:sz="0" w:space="0" w:color="auto"/>
                        <w:bottom w:val="none" w:sz="0" w:space="0" w:color="auto"/>
                        <w:right w:val="none" w:sz="0" w:space="0" w:color="auto"/>
                      </w:divBdr>
                    </w:div>
                  </w:divsChild>
                </w:div>
                <w:div w:id="133984296">
                  <w:marLeft w:val="0"/>
                  <w:marRight w:val="0"/>
                  <w:marTop w:val="0"/>
                  <w:marBottom w:val="0"/>
                  <w:divBdr>
                    <w:top w:val="none" w:sz="0" w:space="0" w:color="auto"/>
                    <w:left w:val="none" w:sz="0" w:space="0" w:color="auto"/>
                    <w:bottom w:val="none" w:sz="0" w:space="0" w:color="auto"/>
                    <w:right w:val="none" w:sz="0" w:space="0" w:color="auto"/>
                  </w:divBdr>
                  <w:divsChild>
                    <w:div w:id="1949972324">
                      <w:marLeft w:val="0"/>
                      <w:marRight w:val="0"/>
                      <w:marTop w:val="0"/>
                      <w:marBottom w:val="0"/>
                      <w:divBdr>
                        <w:top w:val="none" w:sz="0" w:space="0" w:color="auto"/>
                        <w:left w:val="none" w:sz="0" w:space="0" w:color="auto"/>
                        <w:bottom w:val="none" w:sz="0" w:space="0" w:color="auto"/>
                        <w:right w:val="none" w:sz="0" w:space="0" w:color="auto"/>
                      </w:divBdr>
                    </w:div>
                  </w:divsChild>
                </w:div>
                <w:div w:id="128479669">
                  <w:marLeft w:val="0"/>
                  <w:marRight w:val="0"/>
                  <w:marTop w:val="0"/>
                  <w:marBottom w:val="0"/>
                  <w:divBdr>
                    <w:top w:val="none" w:sz="0" w:space="0" w:color="auto"/>
                    <w:left w:val="none" w:sz="0" w:space="0" w:color="auto"/>
                    <w:bottom w:val="none" w:sz="0" w:space="0" w:color="auto"/>
                    <w:right w:val="none" w:sz="0" w:space="0" w:color="auto"/>
                  </w:divBdr>
                  <w:divsChild>
                    <w:div w:id="1357580112">
                      <w:marLeft w:val="0"/>
                      <w:marRight w:val="0"/>
                      <w:marTop w:val="0"/>
                      <w:marBottom w:val="0"/>
                      <w:divBdr>
                        <w:top w:val="none" w:sz="0" w:space="0" w:color="auto"/>
                        <w:left w:val="none" w:sz="0" w:space="0" w:color="auto"/>
                        <w:bottom w:val="none" w:sz="0" w:space="0" w:color="auto"/>
                        <w:right w:val="none" w:sz="0" w:space="0" w:color="auto"/>
                      </w:divBdr>
                    </w:div>
                  </w:divsChild>
                </w:div>
                <w:div w:id="1937396885">
                  <w:marLeft w:val="0"/>
                  <w:marRight w:val="0"/>
                  <w:marTop w:val="0"/>
                  <w:marBottom w:val="0"/>
                  <w:divBdr>
                    <w:top w:val="none" w:sz="0" w:space="0" w:color="auto"/>
                    <w:left w:val="none" w:sz="0" w:space="0" w:color="auto"/>
                    <w:bottom w:val="none" w:sz="0" w:space="0" w:color="auto"/>
                    <w:right w:val="none" w:sz="0" w:space="0" w:color="auto"/>
                  </w:divBdr>
                  <w:divsChild>
                    <w:div w:id="1288976591">
                      <w:marLeft w:val="0"/>
                      <w:marRight w:val="0"/>
                      <w:marTop w:val="0"/>
                      <w:marBottom w:val="0"/>
                      <w:divBdr>
                        <w:top w:val="none" w:sz="0" w:space="0" w:color="auto"/>
                        <w:left w:val="none" w:sz="0" w:space="0" w:color="auto"/>
                        <w:bottom w:val="none" w:sz="0" w:space="0" w:color="auto"/>
                        <w:right w:val="none" w:sz="0" w:space="0" w:color="auto"/>
                      </w:divBdr>
                    </w:div>
                  </w:divsChild>
                </w:div>
                <w:div w:id="11690738">
                  <w:marLeft w:val="0"/>
                  <w:marRight w:val="0"/>
                  <w:marTop w:val="0"/>
                  <w:marBottom w:val="0"/>
                  <w:divBdr>
                    <w:top w:val="none" w:sz="0" w:space="0" w:color="auto"/>
                    <w:left w:val="none" w:sz="0" w:space="0" w:color="auto"/>
                    <w:bottom w:val="none" w:sz="0" w:space="0" w:color="auto"/>
                    <w:right w:val="none" w:sz="0" w:space="0" w:color="auto"/>
                  </w:divBdr>
                  <w:divsChild>
                    <w:div w:id="1935555405">
                      <w:marLeft w:val="0"/>
                      <w:marRight w:val="0"/>
                      <w:marTop w:val="0"/>
                      <w:marBottom w:val="0"/>
                      <w:divBdr>
                        <w:top w:val="none" w:sz="0" w:space="0" w:color="auto"/>
                        <w:left w:val="none" w:sz="0" w:space="0" w:color="auto"/>
                        <w:bottom w:val="none" w:sz="0" w:space="0" w:color="auto"/>
                        <w:right w:val="none" w:sz="0" w:space="0" w:color="auto"/>
                      </w:divBdr>
                    </w:div>
                  </w:divsChild>
                </w:div>
                <w:div w:id="1870291592">
                  <w:marLeft w:val="0"/>
                  <w:marRight w:val="0"/>
                  <w:marTop w:val="0"/>
                  <w:marBottom w:val="0"/>
                  <w:divBdr>
                    <w:top w:val="none" w:sz="0" w:space="0" w:color="auto"/>
                    <w:left w:val="none" w:sz="0" w:space="0" w:color="auto"/>
                    <w:bottom w:val="none" w:sz="0" w:space="0" w:color="auto"/>
                    <w:right w:val="none" w:sz="0" w:space="0" w:color="auto"/>
                  </w:divBdr>
                  <w:divsChild>
                    <w:div w:id="2101831266">
                      <w:marLeft w:val="0"/>
                      <w:marRight w:val="0"/>
                      <w:marTop w:val="0"/>
                      <w:marBottom w:val="0"/>
                      <w:divBdr>
                        <w:top w:val="none" w:sz="0" w:space="0" w:color="auto"/>
                        <w:left w:val="none" w:sz="0" w:space="0" w:color="auto"/>
                        <w:bottom w:val="none" w:sz="0" w:space="0" w:color="auto"/>
                        <w:right w:val="none" w:sz="0" w:space="0" w:color="auto"/>
                      </w:divBdr>
                    </w:div>
                  </w:divsChild>
                </w:div>
                <w:div w:id="1700626403">
                  <w:marLeft w:val="0"/>
                  <w:marRight w:val="0"/>
                  <w:marTop w:val="0"/>
                  <w:marBottom w:val="0"/>
                  <w:divBdr>
                    <w:top w:val="none" w:sz="0" w:space="0" w:color="auto"/>
                    <w:left w:val="none" w:sz="0" w:space="0" w:color="auto"/>
                    <w:bottom w:val="none" w:sz="0" w:space="0" w:color="auto"/>
                    <w:right w:val="none" w:sz="0" w:space="0" w:color="auto"/>
                  </w:divBdr>
                  <w:divsChild>
                    <w:div w:id="303044275">
                      <w:marLeft w:val="0"/>
                      <w:marRight w:val="0"/>
                      <w:marTop w:val="0"/>
                      <w:marBottom w:val="0"/>
                      <w:divBdr>
                        <w:top w:val="none" w:sz="0" w:space="0" w:color="auto"/>
                        <w:left w:val="none" w:sz="0" w:space="0" w:color="auto"/>
                        <w:bottom w:val="none" w:sz="0" w:space="0" w:color="auto"/>
                        <w:right w:val="none" w:sz="0" w:space="0" w:color="auto"/>
                      </w:divBdr>
                    </w:div>
                  </w:divsChild>
                </w:div>
                <w:div w:id="145902589">
                  <w:marLeft w:val="0"/>
                  <w:marRight w:val="0"/>
                  <w:marTop w:val="0"/>
                  <w:marBottom w:val="0"/>
                  <w:divBdr>
                    <w:top w:val="none" w:sz="0" w:space="0" w:color="auto"/>
                    <w:left w:val="none" w:sz="0" w:space="0" w:color="auto"/>
                    <w:bottom w:val="none" w:sz="0" w:space="0" w:color="auto"/>
                    <w:right w:val="none" w:sz="0" w:space="0" w:color="auto"/>
                  </w:divBdr>
                  <w:divsChild>
                    <w:div w:id="1300722353">
                      <w:marLeft w:val="0"/>
                      <w:marRight w:val="0"/>
                      <w:marTop w:val="0"/>
                      <w:marBottom w:val="0"/>
                      <w:divBdr>
                        <w:top w:val="none" w:sz="0" w:space="0" w:color="auto"/>
                        <w:left w:val="none" w:sz="0" w:space="0" w:color="auto"/>
                        <w:bottom w:val="none" w:sz="0" w:space="0" w:color="auto"/>
                        <w:right w:val="none" w:sz="0" w:space="0" w:color="auto"/>
                      </w:divBdr>
                    </w:div>
                  </w:divsChild>
                </w:div>
                <w:div w:id="1177233443">
                  <w:marLeft w:val="0"/>
                  <w:marRight w:val="0"/>
                  <w:marTop w:val="0"/>
                  <w:marBottom w:val="0"/>
                  <w:divBdr>
                    <w:top w:val="none" w:sz="0" w:space="0" w:color="auto"/>
                    <w:left w:val="none" w:sz="0" w:space="0" w:color="auto"/>
                    <w:bottom w:val="none" w:sz="0" w:space="0" w:color="auto"/>
                    <w:right w:val="none" w:sz="0" w:space="0" w:color="auto"/>
                  </w:divBdr>
                  <w:divsChild>
                    <w:div w:id="910580701">
                      <w:marLeft w:val="0"/>
                      <w:marRight w:val="0"/>
                      <w:marTop w:val="0"/>
                      <w:marBottom w:val="0"/>
                      <w:divBdr>
                        <w:top w:val="none" w:sz="0" w:space="0" w:color="auto"/>
                        <w:left w:val="none" w:sz="0" w:space="0" w:color="auto"/>
                        <w:bottom w:val="none" w:sz="0" w:space="0" w:color="auto"/>
                        <w:right w:val="none" w:sz="0" w:space="0" w:color="auto"/>
                      </w:divBdr>
                    </w:div>
                  </w:divsChild>
                </w:div>
                <w:div w:id="1217550962">
                  <w:marLeft w:val="0"/>
                  <w:marRight w:val="0"/>
                  <w:marTop w:val="0"/>
                  <w:marBottom w:val="0"/>
                  <w:divBdr>
                    <w:top w:val="none" w:sz="0" w:space="0" w:color="auto"/>
                    <w:left w:val="none" w:sz="0" w:space="0" w:color="auto"/>
                    <w:bottom w:val="none" w:sz="0" w:space="0" w:color="auto"/>
                    <w:right w:val="none" w:sz="0" w:space="0" w:color="auto"/>
                  </w:divBdr>
                  <w:divsChild>
                    <w:div w:id="1234657579">
                      <w:marLeft w:val="0"/>
                      <w:marRight w:val="0"/>
                      <w:marTop w:val="0"/>
                      <w:marBottom w:val="0"/>
                      <w:divBdr>
                        <w:top w:val="none" w:sz="0" w:space="0" w:color="auto"/>
                        <w:left w:val="none" w:sz="0" w:space="0" w:color="auto"/>
                        <w:bottom w:val="none" w:sz="0" w:space="0" w:color="auto"/>
                        <w:right w:val="none" w:sz="0" w:space="0" w:color="auto"/>
                      </w:divBdr>
                    </w:div>
                  </w:divsChild>
                </w:div>
                <w:div w:id="169412375">
                  <w:marLeft w:val="0"/>
                  <w:marRight w:val="0"/>
                  <w:marTop w:val="0"/>
                  <w:marBottom w:val="0"/>
                  <w:divBdr>
                    <w:top w:val="none" w:sz="0" w:space="0" w:color="auto"/>
                    <w:left w:val="none" w:sz="0" w:space="0" w:color="auto"/>
                    <w:bottom w:val="none" w:sz="0" w:space="0" w:color="auto"/>
                    <w:right w:val="none" w:sz="0" w:space="0" w:color="auto"/>
                  </w:divBdr>
                  <w:divsChild>
                    <w:div w:id="1827626554">
                      <w:marLeft w:val="0"/>
                      <w:marRight w:val="0"/>
                      <w:marTop w:val="0"/>
                      <w:marBottom w:val="0"/>
                      <w:divBdr>
                        <w:top w:val="none" w:sz="0" w:space="0" w:color="auto"/>
                        <w:left w:val="none" w:sz="0" w:space="0" w:color="auto"/>
                        <w:bottom w:val="none" w:sz="0" w:space="0" w:color="auto"/>
                        <w:right w:val="none" w:sz="0" w:space="0" w:color="auto"/>
                      </w:divBdr>
                    </w:div>
                  </w:divsChild>
                </w:div>
                <w:div w:id="509029304">
                  <w:marLeft w:val="0"/>
                  <w:marRight w:val="0"/>
                  <w:marTop w:val="0"/>
                  <w:marBottom w:val="0"/>
                  <w:divBdr>
                    <w:top w:val="none" w:sz="0" w:space="0" w:color="auto"/>
                    <w:left w:val="none" w:sz="0" w:space="0" w:color="auto"/>
                    <w:bottom w:val="none" w:sz="0" w:space="0" w:color="auto"/>
                    <w:right w:val="none" w:sz="0" w:space="0" w:color="auto"/>
                  </w:divBdr>
                  <w:divsChild>
                    <w:div w:id="223227251">
                      <w:marLeft w:val="0"/>
                      <w:marRight w:val="0"/>
                      <w:marTop w:val="0"/>
                      <w:marBottom w:val="0"/>
                      <w:divBdr>
                        <w:top w:val="none" w:sz="0" w:space="0" w:color="auto"/>
                        <w:left w:val="none" w:sz="0" w:space="0" w:color="auto"/>
                        <w:bottom w:val="none" w:sz="0" w:space="0" w:color="auto"/>
                        <w:right w:val="none" w:sz="0" w:space="0" w:color="auto"/>
                      </w:divBdr>
                    </w:div>
                  </w:divsChild>
                </w:div>
                <w:div w:id="1866014600">
                  <w:marLeft w:val="0"/>
                  <w:marRight w:val="0"/>
                  <w:marTop w:val="0"/>
                  <w:marBottom w:val="0"/>
                  <w:divBdr>
                    <w:top w:val="none" w:sz="0" w:space="0" w:color="auto"/>
                    <w:left w:val="none" w:sz="0" w:space="0" w:color="auto"/>
                    <w:bottom w:val="none" w:sz="0" w:space="0" w:color="auto"/>
                    <w:right w:val="none" w:sz="0" w:space="0" w:color="auto"/>
                  </w:divBdr>
                  <w:divsChild>
                    <w:div w:id="1068921950">
                      <w:marLeft w:val="0"/>
                      <w:marRight w:val="0"/>
                      <w:marTop w:val="0"/>
                      <w:marBottom w:val="0"/>
                      <w:divBdr>
                        <w:top w:val="none" w:sz="0" w:space="0" w:color="auto"/>
                        <w:left w:val="none" w:sz="0" w:space="0" w:color="auto"/>
                        <w:bottom w:val="none" w:sz="0" w:space="0" w:color="auto"/>
                        <w:right w:val="none" w:sz="0" w:space="0" w:color="auto"/>
                      </w:divBdr>
                    </w:div>
                  </w:divsChild>
                </w:div>
                <w:div w:id="399133341">
                  <w:marLeft w:val="0"/>
                  <w:marRight w:val="0"/>
                  <w:marTop w:val="0"/>
                  <w:marBottom w:val="0"/>
                  <w:divBdr>
                    <w:top w:val="none" w:sz="0" w:space="0" w:color="auto"/>
                    <w:left w:val="none" w:sz="0" w:space="0" w:color="auto"/>
                    <w:bottom w:val="none" w:sz="0" w:space="0" w:color="auto"/>
                    <w:right w:val="none" w:sz="0" w:space="0" w:color="auto"/>
                  </w:divBdr>
                  <w:divsChild>
                    <w:div w:id="1089035134">
                      <w:marLeft w:val="0"/>
                      <w:marRight w:val="0"/>
                      <w:marTop w:val="0"/>
                      <w:marBottom w:val="0"/>
                      <w:divBdr>
                        <w:top w:val="none" w:sz="0" w:space="0" w:color="auto"/>
                        <w:left w:val="none" w:sz="0" w:space="0" w:color="auto"/>
                        <w:bottom w:val="none" w:sz="0" w:space="0" w:color="auto"/>
                        <w:right w:val="none" w:sz="0" w:space="0" w:color="auto"/>
                      </w:divBdr>
                    </w:div>
                  </w:divsChild>
                </w:div>
                <w:div w:id="1779569949">
                  <w:marLeft w:val="0"/>
                  <w:marRight w:val="0"/>
                  <w:marTop w:val="0"/>
                  <w:marBottom w:val="0"/>
                  <w:divBdr>
                    <w:top w:val="none" w:sz="0" w:space="0" w:color="auto"/>
                    <w:left w:val="none" w:sz="0" w:space="0" w:color="auto"/>
                    <w:bottom w:val="none" w:sz="0" w:space="0" w:color="auto"/>
                    <w:right w:val="none" w:sz="0" w:space="0" w:color="auto"/>
                  </w:divBdr>
                  <w:divsChild>
                    <w:div w:id="2026974304">
                      <w:marLeft w:val="0"/>
                      <w:marRight w:val="0"/>
                      <w:marTop w:val="0"/>
                      <w:marBottom w:val="0"/>
                      <w:divBdr>
                        <w:top w:val="none" w:sz="0" w:space="0" w:color="auto"/>
                        <w:left w:val="none" w:sz="0" w:space="0" w:color="auto"/>
                        <w:bottom w:val="none" w:sz="0" w:space="0" w:color="auto"/>
                        <w:right w:val="none" w:sz="0" w:space="0" w:color="auto"/>
                      </w:divBdr>
                    </w:div>
                  </w:divsChild>
                </w:div>
                <w:div w:id="281962458">
                  <w:marLeft w:val="0"/>
                  <w:marRight w:val="0"/>
                  <w:marTop w:val="0"/>
                  <w:marBottom w:val="0"/>
                  <w:divBdr>
                    <w:top w:val="none" w:sz="0" w:space="0" w:color="auto"/>
                    <w:left w:val="none" w:sz="0" w:space="0" w:color="auto"/>
                    <w:bottom w:val="none" w:sz="0" w:space="0" w:color="auto"/>
                    <w:right w:val="none" w:sz="0" w:space="0" w:color="auto"/>
                  </w:divBdr>
                  <w:divsChild>
                    <w:div w:id="2042315598">
                      <w:marLeft w:val="0"/>
                      <w:marRight w:val="0"/>
                      <w:marTop w:val="0"/>
                      <w:marBottom w:val="0"/>
                      <w:divBdr>
                        <w:top w:val="none" w:sz="0" w:space="0" w:color="auto"/>
                        <w:left w:val="none" w:sz="0" w:space="0" w:color="auto"/>
                        <w:bottom w:val="none" w:sz="0" w:space="0" w:color="auto"/>
                        <w:right w:val="none" w:sz="0" w:space="0" w:color="auto"/>
                      </w:divBdr>
                    </w:div>
                  </w:divsChild>
                </w:div>
                <w:div w:id="1196966112">
                  <w:marLeft w:val="0"/>
                  <w:marRight w:val="0"/>
                  <w:marTop w:val="0"/>
                  <w:marBottom w:val="0"/>
                  <w:divBdr>
                    <w:top w:val="none" w:sz="0" w:space="0" w:color="auto"/>
                    <w:left w:val="none" w:sz="0" w:space="0" w:color="auto"/>
                    <w:bottom w:val="none" w:sz="0" w:space="0" w:color="auto"/>
                    <w:right w:val="none" w:sz="0" w:space="0" w:color="auto"/>
                  </w:divBdr>
                  <w:divsChild>
                    <w:div w:id="1128428897">
                      <w:marLeft w:val="0"/>
                      <w:marRight w:val="0"/>
                      <w:marTop w:val="0"/>
                      <w:marBottom w:val="0"/>
                      <w:divBdr>
                        <w:top w:val="none" w:sz="0" w:space="0" w:color="auto"/>
                        <w:left w:val="none" w:sz="0" w:space="0" w:color="auto"/>
                        <w:bottom w:val="none" w:sz="0" w:space="0" w:color="auto"/>
                        <w:right w:val="none" w:sz="0" w:space="0" w:color="auto"/>
                      </w:divBdr>
                    </w:div>
                  </w:divsChild>
                </w:div>
                <w:div w:id="230508957">
                  <w:marLeft w:val="0"/>
                  <w:marRight w:val="0"/>
                  <w:marTop w:val="0"/>
                  <w:marBottom w:val="0"/>
                  <w:divBdr>
                    <w:top w:val="none" w:sz="0" w:space="0" w:color="auto"/>
                    <w:left w:val="none" w:sz="0" w:space="0" w:color="auto"/>
                    <w:bottom w:val="none" w:sz="0" w:space="0" w:color="auto"/>
                    <w:right w:val="none" w:sz="0" w:space="0" w:color="auto"/>
                  </w:divBdr>
                  <w:divsChild>
                    <w:div w:id="2113699425">
                      <w:marLeft w:val="0"/>
                      <w:marRight w:val="0"/>
                      <w:marTop w:val="0"/>
                      <w:marBottom w:val="0"/>
                      <w:divBdr>
                        <w:top w:val="none" w:sz="0" w:space="0" w:color="auto"/>
                        <w:left w:val="none" w:sz="0" w:space="0" w:color="auto"/>
                        <w:bottom w:val="none" w:sz="0" w:space="0" w:color="auto"/>
                        <w:right w:val="none" w:sz="0" w:space="0" w:color="auto"/>
                      </w:divBdr>
                    </w:div>
                  </w:divsChild>
                </w:div>
                <w:div w:id="1661083033">
                  <w:marLeft w:val="0"/>
                  <w:marRight w:val="0"/>
                  <w:marTop w:val="0"/>
                  <w:marBottom w:val="0"/>
                  <w:divBdr>
                    <w:top w:val="none" w:sz="0" w:space="0" w:color="auto"/>
                    <w:left w:val="none" w:sz="0" w:space="0" w:color="auto"/>
                    <w:bottom w:val="none" w:sz="0" w:space="0" w:color="auto"/>
                    <w:right w:val="none" w:sz="0" w:space="0" w:color="auto"/>
                  </w:divBdr>
                  <w:divsChild>
                    <w:div w:id="903754031">
                      <w:marLeft w:val="0"/>
                      <w:marRight w:val="0"/>
                      <w:marTop w:val="0"/>
                      <w:marBottom w:val="0"/>
                      <w:divBdr>
                        <w:top w:val="none" w:sz="0" w:space="0" w:color="auto"/>
                        <w:left w:val="none" w:sz="0" w:space="0" w:color="auto"/>
                        <w:bottom w:val="none" w:sz="0" w:space="0" w:color="auto"/>
                        <w:right w:val="none" w:sz="0" w:space="0" w:color="auto"/>
                      </w:divBdr>
                    </w:div>
                  </w:divsChild>
                </w:div>
                <w:div w:id="622201029">
                  <w:marLeft w:val="0"/>
                  <w:marRight w:val="0"/>
                  <w:marTop w:val="0"/>
                  <w:marBottom w:val="0"/>
                  <w:divBdr>
                    <w:top w:val="none" w:sz="0" w:space="0" w:color="auto"/>
                    <w:left w:val="none" w:sz="0" w:space="0" w:color="auto"/>
                    <w:bottom w:val="none" w:sz="0" w:space="0" w:color="auto"/>
                    <w:right w:val="none" w:sz="0" w:space="0" w:color="auto"/>
                  </w:divBdr>
                  <w:divsChild>
                    <w:div w:id="211036657">
                      <w:marLeft w:val="0"/>
                      <w:marRight w:val="0"/>
                      <w:marTop w:val="0"/>
                      <w:marBottom w:val="0"/>
                      <w:divBdr>
                        <w:top w:val="none" w:sz="0" w:space="0" w:color="auto"/>
                        <w:left w:val="none" w:sz="0" w:space="0" w:color="auto"/>
                        <w:bottom w:val="none" w:sz="0" w:space="0" w:color="auto"/>
                        <w:right w:val="none" w:sz="0" w:space="0" w:color="auto"/>
                      </w:divBdr>
                    </w:div>
                  </w:divsChild>
                </w:div>
                <w:div w:id="1004358127">
                  <w:marLeft w:val="0"/>
                  <w:marRight w:val="0"/>
                  <w:marTop w:val="0"/>
                  <w:marBottom w:val="0"/>
                  <w:divBdr>
                    <w:top w:val="none" w:sz="0" w:space="0" w:color="auto"/>
                    <w:left w:val="none" w:sz="0" w:space="0" w:color="auto"/>
                    <w:bottom w:val="none" w:sz="0" w:space="0" w:color="auto"/>
                    <w:right w:val="none" w:sz="0" w:space="0" w:color="auto"/>
                  </w:divBdr>
                  <w:divsChild>
                    <w:div w:id="1995065137">
                      <w:marLeft w:val="0"/>
                      <w:marRight w:val="0"/>
                      <w:marTop w:val="0"/>
                      <w:marBottom w:val="0"/>
                      <w:divBdr>
                        <w:top w:val="none" w:sz="0" w:space="0" w:color="auto"/>
                        <w:left w:val="none" w:sz="0" w:space="0" w:color="auto"/>
                        <w:bottom w:val="none" w:sz="0" w:space="0" w:color="auto"/>
                        <w:right w:val="none" w:sz="0" w:space="0" w:color="auto"/>
                      </w:divBdr>
                    </w:div>
                  </w:divsChild>
                </w:div>
                <w:div w:id="926499815">
                  <w:marLeft w:val="0"/>
                  <w:marRight w:val="0"/>
                  <w:marTop w:val="0"/>
                  <w:marBottom w:val="0"/>
                  <w:divBdr>
                    <w:top w:val="none" w:sz="0" w:space="0" w:color="auto"/>
                    <w:left w:val="none" w:sz="0" w:space="0" w:color="auto"/>
                    <w:bottom w:val="none" w:sz="0" w:space="0" w:color="auto"/>
                    <w:right w:val="none" w:sz="0" w:space="0" w:color="auto"/>
                  </w:divBdr>
                  <w:divsChild>
                    <w:div w:id="1979217166">
                      <w:marLeft w:val="0"/>
                      <w:marRight w:val="0"/>
                      <w:marTop w:val="0"/>
                      <w:marBottom w:val="0"/>
                      <w:divBdr>
                        <w:top w:val="none" w:sz="0" w:space="0" w:color="auto"/>
                        <w:left w:val="none" w:sz="0" w:space="0" w:color="auto"/>
                        <w:bottom w:val="none" w:sz="0" w:space="0" w:color="auto"/>
                        <w:right w:val="none" w:sz="0" w:space="0" w:color="auto"/>
                      </w:divBdr>
                    </w:div>
                  </w:divsChild>
                </w:div>
                <w:div w:id="633216994">
                  <w:marLeft w:val="0"/>
                  <w:marRight w:val="0"/>
                  <w:marTop w:val="0"/>
                  <w:marBottom w:val="0"/>
                  <w:divBdr>
                    <w:top w:val="none" w:sz="0" w:space="0" w:color="auto"/>
                    <w:left w:val="none" w:sz="0" w:space="0" w:color="auto"/>
                    <w:bottom w:val="none" w:sz="0" w:space="0" w:color="auto"/>
                    <w:right w:val="none" w:sz="0" w:space="0" w:color="auto"/>
                  </w:divBdr>
                  <w:divsChild>
                    <w:div w:id="493452321">
                      <w:marLeft w:val="0"/>
                      <w:marRight w:val="0"/>
                      <w:marTop w:val="0"/>
                      <w:marBottom w:val="0"/>
                      <w:divBdr>
                        <w:top w:val="none" w:sz="0" w:space="0" w:color="auto"/>
                        <w:left w:val="none" w:sz="0" w:space="0" w:color="auto"/>
                        <w:bottom w:val="none" w:sz="0" w:space="0" w:color="auto"/>
                        <w:right w:val="none" w:sz="0" w:space="0" w:color="auto"/>
                      </w:divBdr>
                    </w:div>
                  </w:divsChild>
                </w:div>
                <w:div w:id="1771197425">
                  <w:marLeft w:val="0"/>
                  <w:marRight w:val="0"/>
                  <w:marTop w:val="0"/>
                  <w:marBottom w:val="0"/>
                  <w:divBdr>
                    <w:top w:val="none" w:sz="0" w:space="0" w:color="auto"/>
                    <w:left w:val="none" w:sz="0" w:space="0" w:color="auto"/>
                    <w:bottom w:val="none" w:sz="0" w:space="0" w:color="auto"/>
                    <w:right w:val="none" w:sz="0" w:space="0" w:color="auto"/>
                  </w:divBdr>
                  <w:divsChild>
                    <w:div w:id="587622323">
                      <w:marLeft w:val="0"/>
                      <w:marRight w:val="0"/>
                      <w:marTop w:val="0"/>
                      <w:marBottom w:val="0"/>
                      <w:divBdr>
                        <w:top w:val="none" w:sz="0" w:space="0" w:color="auto"/>
                        <w:left w:val="none" w:sz="0" w:space="0" w:color="auto"/>
                        <w:bottom w:val="none" w:sz="0" w:space="0" w:color="auto"/>
                        <w:right w:val="none" w:sz="0" w:space="0" w:color="auto"/>
                      </w:divBdr>
                    </w:div>
                  </w:divsChild>
                </w:div>
                <w:div w:id="240136902">
                  <w:marLeft w:val="0"/>
                  <w:marRight w:val="0"/>
                  <w:marTop w:val="0"/>
                  <w:marBottom w:val="0"/>
                  <w:divBdr>
                    <w:top w:val="none" w:sz="0" w:space="0" w:color="auto"/>
                    <w:left w:val="none" w:sz="0" w:space="0" w:color="auto"/>
                    <w:bottom w:val="none" w:sz="0" w:space="0" w:color="auto"/>
                    <w:right w:val="none" w:sz="0" w:space="0" w:color="auto"/>
                  </w:divBdr>
                  <w:divsChild>
                    <w:div w:id="1956400190">
                      <w:marLeft w:val="0"/>
                      <w:marRight w:val="0"/>
                      <w:marTop w:val="0"/>
                      <w:marBottom w:val="0"/>
                      <w:divBdr>
                        <w:top w:val="none" w:sz="0" w:space="0" w:color="auto"/>
                        <w:left w:val="none" w:sz="0" w:space="0" w:color="auto"/>
                        <w:bottom w:val="none" w:sz="0" w:space="0" w:color="auto"/>
                        <w:right w:val="none" w:sz="0" w:space="0" w:color="auto"/>
                      </w:divBdr>
                    </w:div>
                  </w:divsChild>
                </w:div>
                <w:div w:id="1990010366">
                  <w:marLeft w:val="0"/>
                  <w:marRight w:val="0"/>
                  <w:marTop w:val="0"/>
                  <w:marBottom w:val="0"/>
                  <w:divBdr>
                    <w:top w:val="none" w:sz="0" w:space="0" w:color="auto"/>
                    <w:left w:val="none" w:sz="0" w:space="0" w:color="auto"/>
                    <w:bottom w:val="none" w:sz="0" w:space="0" w:color="auto"/>
                    <w:right w:val="none" w:sz="0" w:space="0" w:color="auto"/>
                  </w:divBdr>
                  <w:divsChild>
                    <w:div w:id="1691105220">
                      <w:marLeft w:val="0"/>
                      <w:marRight w:val="0"/>
                      <w:marTop w:val="0"/>
                      <w:marBottom w:val="0"/>
                      <w:divBdr>
                        <w:top w:val="none" w:sz="0" w:space="0" w:color="auto"/>
                        <w:left w:val="none" w:sz="0" w:space="0" w:color="auto"/>
                        <w:bottom w:val="none" w:sz="0" w:space="0" w:color="auto"/>
                        <w:right w:val="none" w:sz="0" w:space="0" w:color="auto"/>
                      </w:divBdr>
                    </w:div>
                  </w:divsChild>
                </w:div>
                <w:div w:id="119305284">
                  <w:marLeft w:val="0"/>
                  <w:marRight w:val="0"/>
                  <w:marTop w:val="0"/>
                  <w:marBottom w:val="0"/>
                  <w:divBdr>
                    <w:top w:val="none" w:sz="0" w:space="0" w:color="auto"/>
                    <w:left w:val="none" w:sz="0" w:space="0" w:color="auto"/>
                    <w:bottom w:val="none" w:sz="0" w:space="0" w:color="auto"/>
                    <w:right w:val="none" w:sz="0" w:space="0" w:color="auto"/>
                  </w:divBdr>
                  <w:divsChild>
                    <w:div w:id="160582545">
                      <w:marLeft w:val="0"/>
                      <w:marRight w:val="0"/>
                      <w:marTop w:val="0"/>
                      <w:marBottom w:val="0"/>
                      <w:divBdr>
                        <w:top w:val="none" w:sz="0" w:space="0" w:color="auto"/>
                        <w:left w:val="none" w:sz="0" w:space="0" w:color="auto"/>
                        <w:bottom w:val="none" w:sz="0" w:space="0" w:color="auto"/>
                        <w:right w:val="none" w:sz="0" w:space="0" w:color="auto"/>
                      </w:divBdr>
                    </w:div>
                  </w:divsChild>
                </w:div>
                <w:div w:id="1541162714">
                  <w:marLeft w:val="0"/>
                  <w:marRight w:val="0"/>
                  <w:marTop w:val="0"/>
                  <w:marBottom w:val="0"/>
                  <w:divBdr>
                    <w:top w:val="none" w:sz="0" w:space="0" w:color="auto"/>
                    <w:left w:val="none" w:sz="0" w:space="0" w:color="auto"/>
                    <w:bottom w:val="none" w:sz="0" w:space="0" w:color="auto"/>
                    <w:right w:val="none" w:sz="0" w:space="0" w:color="auto"/>
                  </w:divBdr>
                  <w:divsChild>
                    <w:div w:id="1823961528">
                      <w:marLeft w:val="0"/>
                      <w:marRight w:val="0"/>
                      <w:marTop w:val="0"/>
                      <w:marBottom w:val="0"/>
                      <w:divBdr>
                        <w:top w:val="none" w:sz="0" w:space="0" w:color="auto"/>
                        <w:left w:val="none" w:sz="0" w:space="0" w:color="auto"/>
                        <w:bottom w:val="none" w:sz="0" w:space="0" w:color="auto"/>
                        <w:right w:val="none" w:sz="0" w:space="0" w:color="auto"/>
                      </w:divBdr>
                    </w:div>
                  </w:divsChild>
                </w:div>
                <w:div w:id="1903444236">
                  <w:marLeft w:val="0"/>
                  <w:marRight w:val="0"/>
                  <w:marTop w:val="0"/>
                  <w:marBottom w:val="0"/>
                  <w:divBdr>
                    <w:top w:val="none" w:sz="0" w:space="0" w:color="auto"/>
                    <w:left w:val="none" w:sz="0" w:space="0" w:color="auto"/>
                    <w:bottom w:val="none" w:sz="0" w:space="0" w:color="auto"/>
                    <w:right w:val="none" w:sz="0" w:space="0" w:color="auto"/>
                  </w:divBdr>
                  <w:divsChild>
                    <w:div w:id="734624386">
                      <w:marLeft w:val="0"/>
                      <w:marRight w:val="0"/>
                      <w:marTop w:val="0"/>
                      <w:marBottom w:val="0"/>
                      <w:divBdr>
                        <w:top w:val="none" w:sz="0" w:space="0" w:color="auto"/>
                        <w:left w:val="none" w:sz="0" w:space="0" w:color="auto"/>
                        <w:bottom w:val="none" w:sz="0" w:space="0" w:color="auto"/>
                        <w:right w:val="none" w:sz="0" w:space="0" w:color="auto"/>
                      </w:divBdr>
                    </w:div>
                  </w:divsChild>
                </w:div>
                <w:div w:id="1318530935">
                  <w:marLeft w:val="0"/>
                  <w:marRight w:val="0"/>
                  <w:marTop w:val="0"/>
                  <w:marBottom w:val="0"/>
                  <w:divBdr>
                    <w:top w:val="none" w:sz="0" w:space="0" w:color="auto"/>
                    <w:left w:val="none" w:sz="0" w:space="0" w:color="auto"/>
                    <w:bottom w:val="none" w:sz="0" w:space="0" w:color="auto"/>
                    <w:right w:val="none" w:sz="0" w:space="0" w:color="auto"/>
                  </w:divBdr>
                  <w:divsChild>
                    <w:div w:id="174927137">
                      <w:marLeft w:val="0"/>
                      <w:marRight w:val="0"/>
                      <w:marTop w:val="0"/>
                      <w:marBottom w:val="0"/>
                      <w:divBdr>
                        <w:top w:val="none" w:sz="0" w:space="0" w:color="auto"/>
                        <w:left w:val="none" w:sz="0" w:space="0" w:color="auto"/>
                        <w:bottom w:val="none" w:sz="0" w:space="0" w:color="auto"/>
                        <w:right w:val="none" w:sz="0" w:space="0" w:color="auto"/>
                      </w:divBdr>
                    </w:div>
                  </w:divsChild>
                </w:div>
                <w:div w:id="990719435">
                  <w:marLeft w:val="0"/>
                  <w:marRight w:val="0"/>
                  <w:marTop w:val="0"/>
                  <w:marBottom w:val="0"/>
                  <w:divBdr>
                    <w:top w:val="none" w:sz="0" w:space="0" w:color="auto"/>
                    <w:left w:val="none" w:sz="0" w:space="0" w:color="auto"/>
                    <w:bottom w:val="none" w:sz="0" w:space="0" w:color="auto"/>
                    <w:right w:val="none" w:sz="0" w:space="0" w:color="auto"/>
                  </w:divBdr>
                  <w:divsChild>
                    <w:div w:id="17269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591386">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59601827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6690402">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3970045">
      <w:bodyDiv w:val="1"/>
      <w:marLeft w:val="0"/>
      <w:marRight w:val="0"/>
      <w:marTop w:val="0"/>
      <w:marBottom w:val="0"/>
      <w:divBdr>
        <w:top w:val="none" w:sz="0" w:space="0" w:color="auto"/>
        <w:left w:val="none" w:sz="0" w:space="0" w:color="auto"/>
        <w:bottom w:val="none" w:sz="0" w:space="0" w:color="auto"/>
        <w:right w:val="none" w:sz="0" w:space="0" w:color="auto"/>
      </w:divBdr>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5AIRPNAIUNRU-1328258698-11530</_dlc_DocId>
    <_dlc_DocIdUrl xmlns="71c5aaf6-e6ce-465b-b873-5148d2a4c105">
      <Url>https://nokia.sharepoint.com/sites/c5g/5gradio/_layouts/15/DocIdRedir.aspx?ID=5AIRPNAIUNRU-1328258698-11530</Url>
      <Description>5AIRPNAIUNRU-1328258698-11530</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3.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4.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673</Words>
  <Characters>3838</Characters>
  <Application>Microsoft Office Word</Application>
  <DocSecurity>0</DocSecurity>
  <Lines>31</Lines>
  <Paragraphs>9</Paragraphs>
  <ScaleCrop>false</ScaleCrop>
  <Company>ETSI-MCC</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7</cp:revision>
  <cp:lastPrinted>2013-03-23T00:57:00Z</cp:lastPrinted>
  <dcterms:created xsi:type="dcterms:W3CDTF">2022-04-24T18:06:00Z</dcterms:created>
  <dcterms:modified xsi:type="dcterms:W3CDTF">2022-04-25T16:43:00Z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83ee2554-3f4a-436d-a432-27ed5193f1c6</vt:lpwstr>
  </property>
</Properties>
</file>